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济南市莱芜区民政局2026年度政务公开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培训计划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为深化政务公开标准化、精细化建设，夯实政务公开工作基础，提升政务公开服务质效，主动适应新时代政务公开工作新要求，结合莱芜区民政工作实际，制定本培训计划。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bookmarkStart w:id="0" w:name="heading_0"/>
      <w:r>
        <w:rPr>
          <w:rFonts w:hint="eastAsia" w:ascii="国标黑体" w:hAnsi="国标黑体" w:eastAsia="国标黑体" w:cs="国标黑体"/>
          <w:sz w:val="32"/>
          <w:szCs w:val="32"/>
        </w:rPr>
        <w:t>一、指导思想</w:t>
      </w:r>
      <w:bookmarkEnd w:id="0"/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以习近平新时代中国特色社会主义思想为指导，全面贯彻党的二十届历次全会精神，紧扣国家、省、市、区政务公开工作最新部署，坚持 “以公开促规范、以公开提效能、以公开优服务”，聚焦民政领域群众关切，健全公开体系、强化能力建设、筑牢合规底线，推动政务公</w:t>
      </w:r>
      <w:bookmarkStart w:id="9" w:name="_GoBack"/>
      <w:bookmarkEnd w:id="9"/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开工作从“达标合规” 向 “提质增效” 转变，助力民政服务高质量发展。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bookmarkStart w:id="1" w:name="heading_3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二</w:t>
      </w:r>
      <w:r>
        <w:rPr>
          <w:rFonts w:hint="eastAsia" w:ascii="国标黑体" w:hAnsi="国标黑体" w:eastAsia="国标黑体" w:cs="国标黑体"/>
          <w:sz w:val="32"/>
          <w:szCs w:val="32"/>
        </w:rPr>
        <w:t>、培训内容</w:t>
      </w:r>
      <w:bookmarkEnd w:id="1"/>
    </w:p>
    <w:p>
      <w:pPr>
        <w:spacing w:line="360" w:lineRule="auto"/>
        <w:ind w:firstLine="62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bookmarkStart w:id="2" w:name="heading_4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（一）政策法规深度解读</w:t>
      </w:r>
      <w:bookmarkEnd w:id="2"/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最新政务公开法律法规及规范性文件，重点学习修订后的《中华人民共和国政府信息公开条例》、省市区政务公开工作细则、民政领域专项公开指引。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政务公开相关行政复议、行政诉讼典型判例，梳理常见败诉情形，强化合规履职意识。</w:t>
      </w:r>
    </w:p>
    <w:p>
      <w:pPr>
        <w:spacing w:line="360" w:lineRule="auto"/>
        <w:ind w:firstLine="62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bookmarkStart w:id="3" w:name="heading_5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（二）重点业务精准公开实操</w:t>
      </w:r>
      <w:bookmarkEnd w:id="3"/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民政重点领域公开清单实操：社会救助资金发放、养老机构备案、社会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福利补贴发放、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惠民政策文件及解读等核心内容的公开范围、公开标准、公开时限细化培训。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公开流程全链条规范：信息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审查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、审核、签发、发布、归档闭环管理。</w:t>
      </w:r>
    </w:p>
    <w:p>
      <w:pPr>
        <w:spacing w:line="360" w:lineRule="auto"/>
        <w:ind w:firstLine="62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bookmarkStart w:id="4" w:name="heading_6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（三）依申请公开提质增效</w:t>
      </w:r>
      <w:bookmarkEnd w:id="4"/>
    </w:p>
    <w:p>
      <w:pPr>
        <w:spacing w:line="360" w:lineRule="auto"/>
        <w:ind w:firstLine="960" w:firstLineChars="3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依申请公开全流程规范：申请接收、登记分流、答复时限、文书制作、送达归档标准化流程，杜绝超期答复、答复不规范等问题。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复杂申请处置技巧：信息不存在、不属于本机关公开、涉密或敏感信息、第三方权益保护等疑难情形的答复策略与沟通技巧。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典型案例复盘研讨：选取近年民政领域依申请公开高频争议案例、复杂答复案例，开展情景模拟与实操演练，提升实战能力。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bookmarkStart w:id="5" w:name="heading_9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三</w:t>
      </w:r>
      <w:r>
        <w:rPr>
          <w:rFonts w:hint="eastAsia" w:ascii="国标黑体" w:hAnsi="国标黑体" w:eastAsia="国标黑体" w:cs="国标黑体"/>
          <w:sz w:val="32"/>
          <w:szCs w:val="32"/>
        </w:rPr>
        <w:t>、培训方式</w:t>
      </w:r>
      <w:bookmarkEnd w:id="5"/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</w:rPr>
        <w:t>采取集中学习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+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</w:rPr>
        <w:t>自主学习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相结合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</w:rPr>
        <w:t>方式，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一是通过民政微讲堂、政务公开专题会议等方式，对培训内容进行专项学习，二是依托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工作微信群，推送政策解读微课、典型案例汇编，实现常态化、灵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活化学习。三是进行一对一实操指导，针对新入职经办人员、业务薄弱科室，由办公室政务公开专职人员开展一对一指导。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bookmarkStart w:id="6" w:name="heading_1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四、</w:t>
      </w:r>
      <w:bookmarkEnd w:id="6"/>
      <w:bookmarkStart w:id="7" w:name="heading_2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培训对象</w:t>
      </w:r>
      <w:bookmarkEnd w:id="7"/>
    </w:p>
    <w:p>
      <w:pPr>
        <w:spacing w:line="360" w:lineRule="auto"/>
        <w:ind w:firstLine="640" w:firstLineChars="200"/>
        <w:rPr>
          <w:rFonts w:hint="default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eastAsia="zh-CN"/>
        </w:rPr>
        <w:t> 莱芜区民政局全体干部职工。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bookmarkStart w:id="8" w:name="heading_11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五、培训要求</w:t>
      </w:r>
      <w:bookmarkEnd w:id="8"/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1.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提高思想认识，压实工作责任。各科室要高度重视政务公开培训工作，</w:t>
      </w:r>
      <w:r>
        <w:rPr>
          <w:rFonts w:hint="default" w:ascii="国标仿宋-GB/T 2312" w:hAnsi="国标仿宋-GB/T 2312" w:eastAsia="国标仿宋-GB/T 2312" w:cs="国标仿宋-GB/T 2312"/>
          <w:sz w:val="32"/>
          <w:szCs w:val="32"/>
          <w:lang w:eastAsia="zh-CN"/>
        </w:rPr>
        <w:t>明确专责人员具体负责所属范围政务公开工作。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2.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严格培训纪律，保障学习成效。参训人员需按时参加培训，遵守培训纪律。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3.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坚持学用结合，强化成果转化。聚焦民政工作实际，把培训学习与日常政务公开工作紧密结合，针对短板弱项精准整改，推动培训成果转化为工作实效，全面提升民政领域政务公开工作水平。</w:t>
      </w:r>
    </w:p>
    <w:p>
      <w:pPr>
        <w:spacing w:line="360" w:lineRule="auto"/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94F5E3C"/>
    <w:rsid w:val="3F776B9C"/>
    <w:rsid w:val="5FC59FE7"/>
    <w:rsid w:val="7AEA241C"/>
    <w:rsid w:val="B8BFFAE8"/>
    <w:rsid w:val="BFFD6798"/>
    <w:rsid w:val="D0D18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Office_11.8.2.12356_F1E327BC-269C-435d-A152-05C5408002CA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2026-06-02T15:10:00Z</dcterms:created>
  <dc:creator>Apache POI</dc:creator>
  <cp:lastModifiedBy>HW</cp:lastModifiedBy>
  <dcterms:modified xsi:type="dcterms:W3CDTF">2026-06-02T16:50:01Z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{"Label":"1","ContentProducer":"001191110102MACQD9K64010000","ProduceID":"7646321016971627723","ReservedCode1":"","ContentPropagator":"","PropagateID":"","ReservedCode2":""}</vt:lpwstr>
  </property>
  <property fmtid="{D5CDD505-2E9C-101B-9397-08002B2CF9AE}" pid="3" name="KSOProductBuildVer">
    <vt:lpwstr>2052-11.8.2.12356</vt:lpwstr>
  </property>
  <property fmtid="{D5CDD505-2E9C-101B-9397-08002B2CF9AE}" pid="4" name="ICV">
    <vt:lpwstr>BABCF46ECBA71AE7FE301D6A0828F8AF</vt:lpwstr>
  </property>
</Properties>
</file>