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ectPr>
          <w:footerReference w:type="default" r:id="rId1"/>
          <w:pgSz w:w="11906" w:h="16839"/>
          <w:pgMar w:top="1431" w:right="1385" w:bottom="1852" w:left="1491" w:header="0" w:footer="1485" w:gutter="0"/>
          <w:cols w:equalWidth="0" w:num="1">
            <w:col w:w="9029" w:space="0"/>
          </w:cols>
        </w:sectPr>
        <w:rPr/>
      </w:pPr>
    </w:p>
    <w:p>
      <w:pPr>
        <w:ind w:left="89"/>
        <w:spacing w:before="264" w:line="170" w:lineRule="auto"/>
        <w:rPr>
          <w:rFonts w:ascii="Microsoft YaHei" w:hAnsi="Microsoft YaHei" w:eastAsia="Microsoft YaHei" w:cs="Microsoft YaHei"/>
          <w:sz w:val="70"/>
          <w:szCs w:val="70"/>
        </w:rPr>
      </w:pPr>
      <w:r>
        <w:rPr>
          <w:rFonts w:ascii="Microsoft YaHei" w:hAnsi="Microsoft YaHei" w:eastAsia="Microsoft YaHei" w:cs="Microsoft YaHei"/>
          <w:sz w:val="70"/>
          <w:szCs w:val="70"/>
          <w:color w:val="FF0000"/>
          <w:spacing w:val="-21"/>
          <w:w w:val="88"/>
        </w:rPr>
        <w:t>济南市莱芜区发展和改革局</w:t>
      </w:r>
    </w:p>
    <w:p>
      <w:pPr>
        <w:spacing w:before="2" w:line="188" w:lineRule="auto"/>
        <w:jc w:val="right"/>
        <w:rPr>
          <w:rFonts w:ascii="Microsoft YaHei" w:hAnsi="Microsoft YaHei" w:eastAsia="Microsoft YaHei" w:cs="Microsoft YaHei"/>
          <w:sz w:val="70"/>
          <w:szCs w:val="70"/>
        </w:rPr>
      </w:pPr>
      <w:r>
        <w:rPr>
          <w:rFonts w:ascii="Microsoft YaHei" w:hAnsi="Microsoft YaHei" w:eastAsia="Microsoft YaHei" w:cs="Microsoft YaHei"/>
          <w:sz w:val="70"/>
          <w:szCs w:val="70"/>
          <w:color w:val="FF0000"/>
          <w:spacing w:val="82"/>
        </w:rPr>
        <w:t>济南市莱芜区民政局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43" w:line="177" w:lineRule="auto"/>
        <w:jc w:val="right"/>
        <w:rPr>
          <w:rFonts w:ascii="Microsoft YaHei" w:hAnsi="Microsoft YaHei" w:eastAsia="Microsoft YaHei" w:cs="Microsoft YaHei"/>
          <w:sz w:val="131"/>
          <w:szCs w:val="131"/>
        </w:rPr>
      </w:pPr>
      <w:r>
        <w:rPr>
          <w:rFonts w:ascii="Microsoft YaHei" w:hAnsi="Microsoft YaHei" w:eastAsia="Microsoft YaHei" w:cs="Microsoft YaHei"/>
          <w:sz w:val="131"/>
          <w:szCs w:val="131"/>
          <w:color w:val="FF0000"/>
          <w:spacing w:val="-23"/>
          <w:w w:val="49"/>
        </w:rPr>
        <w:t>文</w:t>
      </w:r>
      <w:r>
        <w:rPr>
          <w:rFonts w:ascii="Microsoft YaHei" w:hAnsi="Microsoft YaHei" w:eastAsia="Microsoft YaHei" w:cs="Microsoft YaHei"/>
          <w:sz w:val="131"/>
          <w:szCs w:val="131"/>
          <w:color w:val="FF0000"/>
          <w:spacing w:val="-17"/>
          <w:w w:val="49"/>
        </w:rPr>
        <w:t>件</w:t>
      </w:r>
    </w:p>
    <w:p>
      <w:pPr>
        <w:spacing w:line="177" w:lineRule="auto"/>
        <w:sectPr>
          <w:type w:val="continuous"/>
          <w:pgSz w:w="11906" w:h="16839"/>
          <w:pgMar w:top="1431" w:right="1385" w:bottom="1852" w:left="1491" w:header="0" w:footer="1485" w:gutter="0"/>
          <w:cols w:equalWidth="0" w:num="2">
            <w:col w:w="7267" w:space="100"/>
            <w:col w:w="1662" w:space="0"/>
          </w:cols>
        </w:sectPr>
        <w:rPr>
          <w:rFonts w:ascii="Microsoft YaHei" w:hAnsi="Microsoft YaHei" w:eastAsia="Microsoft YaHei" w:cs="Microsoft YaHei"/>
          <w:sz w:val="131"/>
          <w:szCs w:val="131"/>
        </w:rPr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2602"/>
        <w:spacing w:before="100" w:line="229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5"/>
        </w:rPr>
        <w:t>莱芜发改办字</w:t>
      </w:r>
      <w:r>
        <w:rPr>
          <w:rFonts w:ascii="KaiTi_GB2312" w:hAnsi="KaiTi_GB2312" w:eastAsia="KaiTi_GB2312" w:cs="KaiTi_GB2312"/>
          <w:spacing w:val="5"/>
        </w:rPr>
        <w:t>〔</w:t>
      </w:r>
      <w:r>
        <w:rPr>
          <w:spacing w:val="5"/>
        </w:rPr>
        <w:t>2026</w:t>
      </w:r>
      <w:r>
        <w:rPr>
          <w:rFonts w:ascii="KaiTi_GB2312" w:hAnsi="KaiTi_GB2312" w:eastAsia="KaiTi_GB2312" w:cs="KaiTi_GB2312"/>
          <w:spacing w:val="5"/>
        </w:rPr>
        <w:t>〕</w:t>
      </w:r>
      <w:r>
        <w:rPr>
          <w:spacing w:val="5"/>
        </w:rPr>
        <w:t>4</w:t>
      </w:r>
      <w:r>
        <w:rPr>
          <w:spacing w:val="-35"/>
        </w:rPr>
        <w:t xml:space="preserve"> </w:t>
      </w:r>
      <w:r>
        <w:rPr>
          <w:rFonts w:ascii="FangSong" w:hAnsi="FangSong" w:eastAsia="FangSong" w:cs="FangSong"/>
          <w:spacing w:val="5"/>
        </w:rPr>
        <w:t>号</w:t>
      </w:r>
    </w:p>
    <w:p>
      <w:pPr>
        <w:ind w:firstLine="22"/>
        <w:spacing w:before="133" w:line="46" w:lineRule="exact"/>
        <w:rPr/>
      </w:pPr>
      <w:r>
        <w:rPr/>
        <w:drawing>
          <wp:inline distT="0" distB="0" distL="0" distR="0">
            <wp:extent cx="5615940" cy="2920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940" cy="2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163"/>
        <w:spacing w:before="140" w:line="602" w:lineRule="exact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5"/>
          <w:position w:val="3"/>
        </w:rPr>
        <w:t>关于明确普惠性养老机构床位费等</w:t>
      </w:r>
    </w:p>
    <w:p>
      <w:pPr>
        <w:pStyle w:val="BodyText"/>
        <w:ind w:left="2048"/>
        <w:spacing w:before="18" w:line="222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养老服务收费标准的通知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ind w:left="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各有关养老机构：</w:t>
      </w:r>
    </w:p>
    <w:p>
      <w:pPr>
        <w:pStyle w:val="BodyText"/>
        <w:ind w:firstLine="655"/>
        <w:spacing w:before="220" w:line="334" w:lineRule="auto"/>
        <w:jc w:val="both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8"/>
        </w:rPr>
        <w:t>为扩大普惠性养老服务供给，做好普惠性养老机构认定与管</w:t>
      </w:r>
      <w:r>
        <w:rPr>
          <w:rFonts w:ascii="FangSong" w:hAnsi="FangSong" w:eastAsia="FangSong" w:cs="FangSong"/>
          <w:spacing w:val="9"/>
        </w:rPr>
        <w:t>理，促进养老服务事业健康发展，根据省民政厅、省发展改革委</w:t>
      </w:r>
      <w:r>
        <w:rPr>
          <w:rFonts w:ascii="FangSong" w:hAnsi="FangSong" w:eastAsia="FangSong" w:cs="FangSong"/>
          <w:spacing w:val="19"/>
        </w:rPr>
        <w:t>《关于印发</w:t>
      </w:r>
      <w:r>
        <w:rPr>
          <w:spacing w:val="19"/>
        </w:rPr>
        <w:t>&lt;</w:t>
      </w:r>
      <w:r>
        <w:rPr>
          <w:rFonts w:ascii="FangSong" w:hAnsi="FangSong" w:eastAsia="FangSong" w:cs="FangSong"/>
          <w:spacing w:val="19"/>
        </w:rPr>
        <w:t>山东省普惠性养老机构认定与管理办法</w:t>
      </w:r>
      <w:r>
        <w:rPr>
          <w:spacing w:val="19"/>
        </w:rPr>
        <w:t>(</w:t>
      </w:r>
      <w:r>
        <w:rPr>
          <w:rFonts w:ascii="FangSong" w:hAnsi="FangSong" w:eastAsia="FangSong" w:cs="FangSong"/>
          <w:spacing w:val="19"/>
        </w:rPr>
        <w:t>试行</w:t>
      </w:r>
      <w:r>
        <w:rPr>
          <w:spacing w:val="19"/>
        </w:rPr>
        <w:t>)&gt;</w:t>
      </w:r>
      <w:r>
        <w:rPr>
          <w:rFonts w:ascii="FangSong" w:hAnsi="FangSong" w:eastAsia="FangSong" w:cs="FangSong"/>
          <w:spacing w:val="19"/>
        </w:rPr>
        <w:t>的</w:t>
      </w:r>
      <w:r>
        <w:rPr>
          <w:rFonts w:ascii="FangSong" w:hAnsi="FangSong" w:eastAsia="FangSong" w:cs="FangSong"/>
          <w:spacing w:val="5"/>
        </w:rPr>
        <w:t>通知》（鲁民</w:t>
      </w:r>
      <w:r>
        <w:rPr>
          <w:rFonts w:ascii="KaiTi_GB2312" w:hAnsi="KaiTi_GB2312" w:eastAsia="KaiTi_GB2312" w:cs="KaiTi_GB2312"/>
          <w:spacing w:val="5"/>
        </w:rPr>
        <w:t>〔</w:t>
      </w:r>
      <w:r>
        <w:rPr>
          <w:spacing w:val="5"/>
        </w:rPr>
        <w:t>2024</w:t>
      </w:r>
      <w:r>
        <w:rPr>
          <w:rFonts w:ascii="KaiTi_GB2312" w:hAnsi="KaiTi_GB2312" w:eastAsia="KaiTi_GB2312" w:cs="KaiTi_GB2312"/>
          <w:spacing w:val="5"/>
        </w:rPr>
        <w:t>〕</w:t>
      </w:r>
      <w:r>
        <w:rPr>
          <w:spacing w:val="5"/>
        </w:rPr>
        <w:t>35</w:t>
      </w:r>
      <w:r>
        <w:rPr>
          <w:spacing w:val="-46"/>
        </w:rPr>
        <w:t xml:space="preserve"> </w:t>
      </w:r>
      <w:r>
        <w:rPr>
          <w:rFonts w:ascii="FangSong" w:hAnsi="FangSong" w:eastAsia="FangSong" w:cs="FangSong"/>
          <w:spacing w:val="5"/>
        </w:rPr>
        <w:t>号）要求，结合我区实际，</w:t>
      </w:r>
      <w:r>
        <w:rPr>
          <w:rFonts w:ascii="FangSong" w:hAnsi="FangSong" w:eastAsia="FangSong" w:cs="FangSong"/>
          <w:spacing w:val="4"/>
        </w:rPr>
        <w:t>综合考虑居</w:t>
      </w:r>
      <w:r>
        <w:rPr>
          <w:rFonts w:ascii="FangSong" w:hAnsi="FangSong" w:eastAsia="FangSong" w:cs="FangSong"/>
          <w:spacing w:val="9"/>
        </w:rPr>
        <w:t>民人均可支配收入和服务成本等因素，确定普惠性养老机构床位</w:t>
      </w:r>
      <w:r>
        <w:rPr>
          <w:rFonts w:ascii="FangSong" w:hAnsi="FangSong" w:eastAsia="FangSong" w:cs="FangSong"/>
          <w:spacing w:val="1"/>
        </w:rPr>
        <w:t>费、照料护理费等养老服务价格。结合试行期收费标准执行情况，</w:t>
      </w:r>
      <w:r>
        <w:rPr>
          <w:rFonts w:ascii="FangSong" w:hAnsi="FangSong" w:eastAsia="FangSong" w:cs="FangSong"/>
          <w:spacing w:val="8"/>
        </w:rPr>
        <w:t>现就有关普惠性养老机构收费问题通知如下：</w:t>
      </w:r>
    </w:p>
    <w:p>
      <w:pPr>
        <w:spacing w:line="334" w:lineRule="auto"/>
        <w:sectPr>
          <w:type w:val="continuous"/>
          <w:pgSz w:w="11906" w:h="16839"/>
          <w:pgMar w:top="1431" w:right="1385" w:bottom="1852" w:left="1491" w:header="0" w:footer="1485" w:gutter="0"/>
          <w:cols w:equalWidth="0" w:num="1">
            <w:col w:w="9029" w:space="0"/>
          </w:cols>
        </w:sectPr>
        <w:rPr>
          <w:rFonts w:ascii="FangSong" w:hAnsi="FangSong" w:eastAsia="FangSong" w:cs="FangSong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ind w:left="649"/>
        <w:spacing w:before="100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一、收费项目</w:t>
      </w:r>
    </w:p>
    <w:p>
      <w:pPr>
        <w:ind w:left="12" w:firstLine="644"/>
        <w:spacing w:before="21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普惠性养老机构收费项目包括床位费、照料护理费、伙</w:t>
      </w:r>
      <w:r>
        <w:rPr>
          <w:rFonts w:ascii="FangSong" w:hAnsi="FangSong" w:eastAsia="FangSong" w:cs="FangSong"/>
          <w:sz w:val="31"/>
          <w:szCs w:val="31"/>
          <w:spacing w:val="8"/>
        </w:rPr>
        <w:t>食费</w:t>
      </w:r>
      <w:r>
        <w:rPr>
          <w:rFonts w:ascii="FangSong" w:hAnsi="FangSong" w:eastAsia="FangSong" w:cs="FangSong"/>
          <w:sz w:val="31"/>
          <w:szCs w:val="31"/>
          <w:spacing w:val="5"/>
        </w:rPr>
        <w:t>和其他服务收费。</w:t>
      </w:r>
    </w:p>
    <w:p>
      <w:pPr>
        <w:ind w:left="649"/>
        <w:spacing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二、收费标准</w:t>
      </w:r>
    </w:p>
    <w:p>
      <w:pPr>
        <w:ind w:left="13" w:firstLine="644"/>
        <w:spacing w:before="21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（一）普惠性养老机构床位费、照料护理费收费标准</w:t>
      </w:r>
      <w:r>
        <w:rPr>
          <w:rFonts w:ascii="FangSong" w:hAnsi="FangSong" w:eastAsia="FangSong" w:cs="FangSong"/>
          <w:sz w:val="31"/>
          <w:szCs w:val="31"/>
          <w:spacing w:val="8"/>
        </w:rPr>
        <w:t>执行政</w:t>
      </w:r>
      <w:r>
        <w:rPr>
          <w:rFonts w:ascii="FangSong" w:hAnsi="FangSong" w:eastAsia="FangSong" w:cs="FangSong"/>
          <w:sz w:val="31"/>
          <w:szCs w:val="31"/>
          <w:spacing w:val="9"/>
        </w:rPr>
        <w:t>府指导价，实行最高限价管理，具体标准可在政府指导价格基础</w:t>
      </w:r>
      <w:r>
        <w:rPr>
          <w:rFonts w:ascii="FangSong" w:hAnsi="FangSong" w:eastAsia="FangSong" w:cs="FangSong"/>
          <w:sz w:val="31"/>
          <w:szCs w:val="31"/>
          <w:spacing w:val="8"/>
        </w:rPr>
        <w:t>上向下浮动，下浮幅度不限。收费标准详见附件。</w:t>
      </w:r>
    </w:p>
    <w:p>
      <w:pPr>
        <w:ind w:left="657"/>
        <w:spacing w:before="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（二）伙食费、其他服务收费实行市场调节价。</w:t>
      </w:r>
    </w:p>
    <w:p>
      <w:pPr>
        <w:ind w:left="650"/>
        <w:spacing w:before="220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三、其他事项</w:t>
      </w:r>
    </w:p>
    <w:p>
      <w:pPr>
        <w:ind w:left="14" w:firstLine="642"/>
        <w:spacing w:before="221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普惠性养老机构要按规定将收费项目、收费标准等内容</w:t>
      </w:r>
      <w:r>
        <w:rPr>
          <w:rFonts w:ascii="FangSong" w:hAnsi="FangSong" w:eastAsia="FangSong" w:cs="FangSong"/>
          <w:sz w:val="31"/>
          <w:szCs w:val="31"/>
          <w:spacing w:val="8"/>
        </w:rPr>
        <w:t>在经</w:t>
      </w:r>
      <w:r>
        <w:rPr>
          <w:rFonts w:ascii="FangSong" w:hAnsi="FangSong" w:eastAsia="FangSong" w:cs="FangSong"/>
          <w:sz w:val="31"/>
          <w:szCs w:val="31"/>
          <w:spacing w:val="8"/>
        </w:rPr>
        <w:t>营场所显著位置进行公示，并与入住老年人或其家属（代理人）</w:t>
      </w:r>
      <w:r>
        <w:rPr>
          <w:rFonts w:ascii="FangSong" w:hAnsi="FangSong" w:eastAsia="FangSong" w:cs="FangSong"/>
          <w:sz w:val="31"/>
          <w:szCs w:val="31"/>
          <w:spacing w:val="9"/>
        </w:rPr>
        <w:t>签订书面服务合同，明确服务内容、服务项目、收费标准、退养</w:t>
      </w:r>
      <w:r>
        <w:rPr>
          <w:rFonts w:ascii="FangSong" w:hAnsi="FangSong" w:eastAsia="FangSong" w:cs="FangSong"/>
          <w:sz w:val="31"/>
          <w:szCs w:val="31"/>
          <w:spacing w:val="7"/>
        </w:rPr>
        <w:t>约定、争端解决、合同期限等条款。</w:t>
      </w:r>
    </w:p>
    <w:p>
      <w:pPr>
        <w:ind w:left="13" w:firstLine="640"/>
        <w:spacing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本通知自发布之日起执行，未尽事宜按照国家、省、市相关</w:t>
      </w:r>
      <w:r>
        <w:rPr>
          <w:rFonts w:ascii="FangSong" w:hAnsi="FangSong" w:eastAsia="FangSong" w:cs="FangSong"/>
          <w:sz w:val="31"/>
          <w:szCs w:val="31"/>
          <w:spacing w:val="3"/>
        </w:rPr>
        <w:t>政策执行。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right="2"/>
        <w:spacing w:before="101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附件：莱芜区普惠性养老机构床位费和照料护理费收费标准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655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济南市莱芜区发展和改革局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8"/>
        </w:rPr>
        <w:t>济南市莱芜</w:t>
      </w:r>
      <w:r>
        <w:rPr>
          <w:rFonts w:ascii="FangSong" w:hAnsi="FangSong" w:eastAsia="FangSong" w:cs="FangSong"/>
          <w:sz w:val="31"/>
          <w:szCs w:val="31"/>
          <w:spacing w:val="7"/>
        </w:rPr>
        <w:t>区民政局</w:t>
      </w:r>
    </w:p>
    <w:p>
      <w:pPr>
        <w:pStyle w:val="BodyText"/>
        <w:ind w:left="5767"/>
        <w:spacing w:before="219" w:line="228" w:lineRule="auto"/>
        <w:rPr>
          <w:rFonts w:ascii="FangSong" w:hAnsi="FangSong" w:eastAsia="FangSong" w:cs="FangSong"/>
        </w:rPr>
      </w:pPr>
      <w:r>
        <w:rPr>
          <w:spacing w:val="-10"/>
        </w:rPr>
        <w:t>2026</w:t>
      </w:r>
      <w:r>
        <w:rPr>
          <w:spacing w:val="-44"/>
        </w:rPr>
        <w:t xml:space="preserve"> </w:t>
      </w:r>
      <w:r>
        <w:rPr>
          <w:rFonts w:ascii="FangSong" w:hAnsi="FangSong" w:eastAsia="FangSong" w:cs="FangSong"/>
          <w:spacing w:val="-10"/>
        </w:rPr>
        <w:t>年</w:t>
      </w:r>
      <w:r>
        <w:rPr>
          <w:rFonts w:ascii="FangSong" w:hAnsi="FangSong" w:eastAsia="FangSong" w:cs="FangSong"/>
          <w:spacing w:val="-37"/>
        </w:rPr>
        <w:t xml:space="preserve"> </w:t>
      </w:r>
      <w:r>
        <w:rPr>
          <w:spacing w:val="-10"/>
        </w:rPr>
        <w:t>1</w:t>
      </w:r>
      <w:r>
        <w:rPr>
          <w:spacing w:val="-39"/>
        </w:rPr>
        <w:t xml:space="preserve"> </w:t>
      </w:r>
      <w:r>
        <w:rPr>
          <w:rFonts w:ascii="FangSong" w:hAnsi="FangSong" w:eastAsia="FangSong" w:cs="FangSong"/>
          <w:spacing w:val="-10"/>
        </w:rPr>
        <w:t>月</w:t>
      </w:r>
      <w:r>
        <w:rPr>
          <w:rFonts w:ascii="FangSong" w:hAnsi="FangSong" w:eastAsia="FangSong" w:cs="FangSong"/>
          <w:spacing w:val="-59"/>
        </w:rPr>
        <w:t xml:space="preserve"> </w:t>
      </w:r>
      <w:r>
        <w:rPr>
          <w:spacing w:val="-10"/>
        </w:rPr>
        <w:t>2</w:t>
      </w:r>
      <w:r>
        <w:rPr>
          <w:spacing w:val="14"/>
        </w:rPr>
        <w:t xml:space="preserve"> </w:t>
      </w:r>
      <w:r>
        <w:rPr>
          <w:rFonts w:ascii="FangSong" w:hAnsi="FangSong" w:eastAsia="FangSong" w:cs="FangSong"/>
          <w:spacing w:val="-10"/>
        </w:rPr>
        <w:t>日</w:t>
      </w:r>
    </w:p>
    <w:p>
      <w:pPr>
        <w:spacing w:line="228" w:lineRule="auto"/>
        <w:sectPr>
          <w:footerReference w:type="default" r:id="rId3"/>
          <w:pgSz w:w="11906" w:h="16839"/>
          <w:pgMar w:top="1431" w:right="1473" w:bottom="1852" w:left="1482" w:header="0" w:footer="1485" w:gutter="0"/>
        </w:sectPr>
        <w:rPr>
          <w:rFonts w:ascii="FangSong" w:hAnsi="FangSong" w:eastAsia="FangSong" w:cs="FangSong"/>
        </w:rPr>
      </w:pPr>
    </w:p>
    <w:p>
      <w:pPr>
        <w:pStyle w:val="BodyText"/>
        <w:ind w:left="2529" w:right="1470" w:hanging="1119"/>
        <w:spacing w:before="308" w:line="251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5"/>
        </w:rPr>
        <w:t>莱芜区普惠性养老机构床位费和</w:t>
      </w:r>
      <w:r>
        <w:rPr>
          <w:sz w:val="43"/>
          <w:szCs w:val="43"/>
          <w:b/>
          <w:bCs/>
          <w:spacing w:val="2"/>
        </w:rPr>
        <w:t>照料护理费收费标准</w:t>
      </w:r>
    </w:p>
    <w:p>
      <w:pPr>
        <w:pStyle w:val="BodyText"/>
        <w:ind w:left="6820"/>
        <w:spacing w:before="222" w:line="214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2"/>
        </w:rPr>
        <w:t>单位：元</w:t>
      </w:r>
      <w:r>
        <w:rPr>
          <w:sz w:val="24"/>
          <w:szCs w:val="24"/>
          <w:spacing w:val="-2"/>
        </w:rPr>
        <w:t>/</w:t>
      </w:r>
      <w:r>
        <w:rPr>
          <w:rFonts w:ascii="KaiTi_GB2312" w:hAnsi="KaiTi_GB2312" w:eastAsia="KaiTi_GB2312" w:cs="KaiTi_GB2312"/>
          <w:sz w:val="24"/>
          <w:szCs w:val="24"/>
          <w:spacing w:val="-2"/>
        </w:rPr>
        <w:t>人</w:t>
      </w:r>
      <w:r>
        <w:rPr>
          <w:rFonts w:ascii="KaiTi_GB2312" w:hAnsi="KaiTi_GB2312" w:eastAsia="KaiTi_GB2312" w:cs="KaiTi_GB2312"/>
          <w:sz w:val="24"/>
          <w:szCs w:val="24"/>
          <w:spacing w:val="-2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"/>
        </w:rPr>
        <w:t>·</w:t>
      </w:r>
      <w:r>
        <w:rPr>
          <w:rFonts w:ascii="KaiTi_GB2312" w:hAnsi="KaiTi_GB2312" w:eastAsia="KaiTi_GB2312" w:cs="KaiTi_GB2312"/>
          <w:sz w:val="24"/>
          <w:szCs w:val="24"/>
          <w:spacing w:val="-79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"/>
        </w:rPr>
        <w:t>月</w:t>
      </w:r>
    </w:p>
    <w:p>
      <w:pPr>
        <w:spacing w:line="21" w:lineRule="exact"/>
        <w:rPr/>
      </w:pPr>
      <w:r/>
    </w:p>
    <w:tbl>
      <w:tblPr>
        <w:tblStyle w:val="TableNormal"/>
        <w:tblW w:w="89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7"/>
        <w:gridCol w:w="1622"/>
        <w:gridCol w:w="1014"/>
        <w:gridCol w:w="1376"/>
        <w:gridCol w:w="1360"/>
        <w:gridCol w:w="1219"/>
        <w:gridCol w:w="1334"/>
      </w:tblGrid>
      <w:tr>
        <w:trPr>
          <w:trHeight w:val="780" w:hRule="atLeast"/>
        </w:trPr>
        <w:tc>
          <w:tcPr>
            <w:tcW w:w="2669" w:type="dxa"/>
            <w:vAlign w:val="top"/>
            <w:gridSpan w:val="2"/>
            <w:tcBorders>
              <w:tl2br w:val="single" w:color="000000" w:sz="4" w:space="0"/>
            </w:tcBorders>
          </w:tcPr>
          <w:p>
            <w:pPr>
              <w:ind w:left="431" w:right="756" w:firstLine="1065"/>
              <w:spacing w:before="130" w:line="28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星级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收费</w:t>
            </w:r>
          </w:p>
        </w:tc>
        <w:tc>
          <w:tcPr>
            <w:tcW w:w="1014" w:type="dxa"/>
            <w:vAlign w:val="top"/>
          </w:tcPr>
          <w:p>
            <w:pPr>
              <w:ind w:left="306"/>
              <w:spacing w:before="28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一星</w:t>
            </w:r>
          </w:p>
        </w:tc>
        <w:tc>
          <w:tcPr>
            <w:tcW w:w="1376" w:type="dxa"/>
            <w:vAlign w:val="top"/>
          </w:tcPr>
          <w:p>
            <w:pPr>
              <w:ind w:left="487"/>
              <w:spacing w:before="28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二星</w:t>
            </w:r>
          </w:p>
        </w:tc>
        <w:tc>
          <w:tcPr>
            <w:tcW w:w="1360" w:type="dxa"/>
            <w:vAlign w:val="top"/>
          </w:tcPr>
          <w:p>
            <w:pPr>
              <w:ind w:left="480"/>
              <w:spacing w:before="28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三星</w:t>
            </w:r>
          </w:p>
        </w:tc>
        <w:tc>
          <w:tcPr>
            <w:tcW w:w="1219" w:type="dxa"/>
            <w:vAlign w:val="top"/>
          </w:tcPr>
          <w:p>
            <w:pPr>
              <w:ind w:left="419"/>
              <w:spacing w:before="28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四星</w:t>
            </w:r>
          </w:p>
        </w:tc>
        <w:tc>
          <w:tcPr>
            <w:tcW w:w="1334" w:type="dxa"/>
            <w:vAlign w:val="top"/>
          </w:tcPr>
          <w:p>
            <w:pPr>
              <w:ind w:left="468"/>
              <w:spacing w:before="28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五星</w:t>
            </w:r>
          </w:p>
        </w:tc>
      </w:tr>
      <w:tr>
        <w:trPr>
          <w:trHeight w:val="571" w:hRule="atLeast"/>
        </w:trPr>
        <w:tc>
          <w:tcPr>
            <w:tcW w:w="1047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15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床位费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500"/>
              <w:spacing w:before="179" w:line="229" w:lineRule="auto"/>
              <w:rPr/>
            </w:pPr>
            <w:r>
              <w:rPr>
                <w:spacing w:val="6"/>
              </w:rPr>
              <w:t>单人间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18"/>
              <w:spacing w:before="179" w:line="269" w:lineRule="exact"/>
              <w:rPr/>
            </w:pPr>
            <w:r>
              <w:rPr>
                <w:spacing w:val="-2"/>
                <w:position w:val="1"/>
              </w:rPr>
              <w:t>1000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99"/>
              <w:spacing w:before="179" w:line="269" w:lineRule="exact"/>
              <w:rPr/>
            </w:pPr>
            <w:r>
              <w:rPr>
                <w:spacing w:val="-2"/>
                <w:position w:val="1"/>
              </w:rPr>
              <w:t>1200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91"/>
              <w:spacing w:before="179" w:line="269" w:lineRule="exact"/>
              <w:rPr/>
            </w:pPr>
            <w:r>
              <w:rPr>
                <w:spacing w:val="-1"/>
                <w:position w:val="1"/>
              </w:rPr>
              <w:t>1600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22"/>
              <w:spacing w:before="179" w:line="269" w:lineRule="exact"/>
              <w:rPr/>
            </w:pPr>
            <w:r>
              <w:rPr>
                <w:spacing w:val="-1"/>
                <w:position w:val="1"/>
              </w:rPr>
              <w:t>1800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465"/>
              <w:spacing w:before="179" w:line="269" w:lineRule="exact"/>
              <w:rPr/>
            </w:pPr>
            <w:r>
              <w:rPr>
                <w:spacing w:val="2"/>
                <w:position w:val="1"/>
              </w:rPr>
              <w:t>2000</w:t>
            </w:r>
          </w:p>
        </w:tc>
      </w:tr>
      <w:tr>
        <w:trPr>
          <w:trHeight w:val="572" w:hRule="atLeast"/>
        </w:trPr>
        <w:tc>
          <w:tcPr>
            <w:tcW w:w="10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pStyle w:val="TableText"/>
              <w:ind w:left="499"/>
              <w:spacing w:before="179" w:line="231" w:lineRule="auto"/>
              <w:rPr/>
            </w:pPr>
            <w:r>
              <w:rPr>
                <w:spacing w:val="6"/>
              </w:rPr>
              <w:t>双人间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53"/>
              <w:spacing w:before="179" w:line="269" w:lineRule="exact"/>
              <w:rPr/>
            </w:pPr>
            <w:r>
              <w:rPr>
                <w:spacing w:val="2"/>
                <w:position w:val="1"/>
              </w:rPr>
              <w:t>800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99"/>
              <w:spacing w:before="179" w:line="269" w:lineRule="exact"/>
              <w:rPr/>
            </w:pPr>
            <w:r>
              <w:rPr>
                <w:spacing w:val="-2"/>
                <w:position w:val="1"/>
              </w:rPr>
              <w:t>1000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91"/>
              <w:spacing w:before="179" w:line="269" w:lineRule="exact"/>
              <w:rPr/>
            </w:pPr>
            <w:r>
              <w:rPr>
                <w:spacing w:val="-1"/>
                <w:position w:val="1"/>
              </w:rPr>
              <w:t>1200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22"/>
              <w:spacing w:before="179" w:line="269" w:lineRule="exact"/>
              <w:rPr/>
            </w:pPr>
            <w:r>
              <w:rPr>
                <w:spacing w:val="-1"/>
                <w:position w:val="1"/>
              </w:rPr>
              <w:t>1400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478"/>
              <w:spacing w:before="179" w:line="269" w:lineRule="exact"/>
              <w:rPr/>
            </w:pPr>
            <w:r>
              <w:rPr>
                <w:spacing w:val="-1"/>
                <w:position w:val="1"/>
              </w:rPr>
              <w:t>1600</w:t>
            </w:r>
          </w:p>
        </w:tc>
      </w:tr>
      <w:tr>
        <w:trPr>
          <w:trHeight w:val="571" w:hRule="atLeast"/>
        </w:trPr>
        <w:tc>
          <w:tcPr>
            <w:tcW w:w="10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pStyle w:val="TableText"/>
              <w:ind w:left="508"/>
              <w:spacing w:before="180" w:line="230" w:lineRule="auto"/>
              <w:rPr/>
            </w:pPr>
            <w:r>
              <w:rPr>
                <w:spacing w:val="3"/>
              </w:rPr>
              <w:t>多人间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54"/>
              <w:spacing w:before="180" w:line="270" w:lineRule="exact"/>
              <w:rPr/>
            </w:pPr>
            <w:r>
              <w:rPr>
                <w:spacing w:val="1"/>
                <w:position w:val="1"/>
              </w:rPr>
              <w:t>600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37"/>
              <w:spacing w:before="180" w:line="270" w:lineRule="exact"/>
              <w:rPr/>
            </w:pPr>
            <w:r>
              <w:rPr>
                <w:spacing w:val="2"/>
                <w:position w:val="1"/>
              </w:rPr>
              <w:t>800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91"/>
              <w:spacing w:before="180" w:line="270" w:lineRule="exact"/>
              <w:rPr/>
            </w:pPr>
            <w:r>
              <w:rPr>
                <w:spacing w:val="-1"/>
                <w:position w:val="1"/>
              </w:rPr>
              <w:t>1000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22"/>
              <w:spacing w:before="180" w:line="270" w:lineRule="exact"/>
              <w:rPr/>
            </w:pPr>
            <w:r>
              <w:rPr>
                <w:spacing w:val="-1"/>
                <w:position w:val="1"/>
              </w:rPr>
              <w:t>1200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478"/>
              <w:spacing w:before="180" w:line="270" w:lineRule="exact"/>
              <w:rPr/>
            </w:pPr>
            <w:r>
              <w:rPr>
                <w:spacing w:val="-1"/>
                <w:position w:val="1"/>
              </w:rPr>
              <w:t>1400</w:t>
            </w:r>
          </w:p>
        </w:tc>
      </w:tr>
      <w:tr>
        <w:trPr>
          <w:trHeight w:val="571" w:hRule="atLeast"/>
        </w:trPr>
        <w:tc>
          <w:tcPr>
            <w:tcW w:w="1047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14" w:right="207" w:firstLine="107"/>
              <w:spacing w:before="65" w:line="28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照料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护理费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291"/>
              <w:spacing w:before="180" w:line="229" w:lineRule="auto"/>
              <w:rPr/>
            </w:pPr>
            <w:r>
              <w:rPr>
                <w:spacing w:val="2"/>
              </w:rPr>
              <w:t>照护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0-1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级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57"/>
              <w:spacing w:before="180" w:line="270" w:lineRule="exact"/>
              <w:rPr/>
            </w:pPr>
            <w:r>
              <w:rPr>
                <w:spacing w:val="1"/>
                <w:position w:val="1"/>
              </w:rPr>
              <w:t>300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40"/>
              <w:spacing w:before="180" w:line="270" w:lineRule="exact"/>
              <w:rPr/>
            </w:pPr>
            <w:r>
              <w:rPr>
                <w:spacing w:val="1"/>
                <w:position w:val="1"/>
              </w:rPr>
              <w:t>300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27"/>
              <w:spacing w:before="180" w:line="270" w:lineRule="exact"/>
              <w:rPr/>
            </w:pPr>
            <w:r>
              <w:rPr>
                <w:spacing w:val="2"/>
                <w:position w:val="1"/>
              </w:rPr>
              <w:t>400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64"/>
              <w:spacing w:before="180" w:line="270" w:lineRule="exact"/>
              <w:rPr/>
            </w:pPr>
            <w:r>
              <w:rPr>
                <w:spacing w:val="1"/>
                <w:position w:val="1"/>
              </w:rPr>
              <w:t>500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517"/>
              <w:spacing w:before="180" w:line="270" w:lineRule="exact"/>
              <w:rPr/>
            </w:pPr>
            <w:r>
              <w:rPr>
                <w:spacing w:val="1"/>
                <w:position w:val="1"/>
              </w:rPr>
              <w:t>600</w:t>
            </w:r>
          </w:p>
        </w:tc>
      </w:tr>
      <w:tr>
        <w:trPr>
          <w:trHeight w:val="572" w:hRule="atLeast"/>
        </w:trPr>
        <w:tc>
          <w:tcPr>
            <w:tcW w:w="10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pStyle w:val="TableText"/>
              <w:ind w:left="396"/>
              <w:spacing w:before="183" w:line="229" w:lineRule="auto"/>
              <w:rPr/>
            </w:pPr>
            <w:r>
              <w:rPr/>
              <w:t>照护</w:t>
            </w:r>
            <w:r>
              <w:rPr>
                <w:spacing w:val="-33"/>
              </w:rPr>
              <w:t xml:space="preserve"> </w:t>
            </w:r>
            <w:r>
              <w:rPr/>
              <w:t>2</w:t>
            </w:r>
            <w:r>
              <w:rPr>
                <w:spacing w:val="-37"/>
              </w:rPr>
              <w:t xml:space="preserve"> </w:t>
            </w:r>
            <w:r>
              <w:rPr/>
              <w:t>级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52"/>
              <w:spacing w:before="183" w:line="269" w:lineRule="exact"/>
              <w:rPr/>
            </w:pPr>
            <w:r>
              <w:rPr>
                <w:spacing w:val="2"/>
                <w:position w:val="1"/>
              </w:rPr>
              <w:t>400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40"/>
              <w:spacing w:before="183" w:line="269" w:lineRule="exact"/>
              <w:rPr/>
            </w:pPr>
            <w:r>
              <w:rPr>
                <w:spacing w:val="1"/>
                <w:position w:val="1"/>
              </w:rPr>
              <w:t>500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30"/>
              <w:spacing w:before="183" w:line="269" w:lineRule="exact"/>
              <w:rPr/>
            </w:pPr>
            <w:r>
              <w:rPr>
                <w:spacing w:val="1"/>
                <w:position w:val="1"/>
              </w:rPr>
              <w:t>600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64"/>
              <w:spacing w:before="183" w:line="269" w:lineRule="exact"/>
              <w:rPr/>
            </w:pPr>
            <w:r>
              <w:rPr>
                <w:position w:val="1"/>
              </w:rPr>
              <w:t>700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516"/>
              <w:spacing w:before="183" w:line="269" w:lineRule="exact"/>
              <w:rPr/>
            </w:pPr>
            <w:r>
              <w:rPr>
                <w:spacing w:val="2"/>
                <w:position w:val="1"/>
              </w:rPr>
              <w:t>900</w:t>
            </w:r>
          </w:p>
        </w:tc>
      </w:tr>
      <w:tr>
        <w:trPr>
          <w:trHeight w:val="571" w:hRule="atLeast"/>
        </w:trPr>
        <w:tc>
          <w:tcPr>
            <w:tcW w:w="10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pStyle w:val="TableText"/>
              <w:ind w:left="396"/>
              <w:spacing w:before="182" w:line="229" w:lineRule="auto"/>
              <w:rPr/>
            </w:pPr>
            <w:r>
              <w:rPr/>
              <w:t>照护</w:t>
            </w:r>
            <w:r>
              <w:rPr>
                <w:spacing w:val="-33"/>
              </w:rPr>
              <w:t xml:space="preserve"> </w:t>
            </w:r>
            <w:r>
              <w:rPr/>
              <w:t>3</w:t>
            </w:r>
            <w:r>
              <w:rPr>
                <w:spacing w:val="-37"/>
              </w:rPr>
              <w:t xml:space="preserve"> </w:t>
            </w:r>
            <w:r>
              <w:rPr/>
              <w:t>级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53"/>
              <w:spacing w:before="182" w:line="269" w:lineRule="exact"/>
              <w:rPr/>
            </w:pPr>
            <w:r>
              <w:rPr>
                <w:spacing w:val="2"/>
                <w:position w:val="1"/>
              </w:rPr>
              <w:t>800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37"/>
              <w:spacing w:before="182" w:line="269" w:lineRule="exact"/>
              <w:rPr/>
            </w:pPr>
            <w:r>
              <w:rPr>
                <w:spacing w:val="2"/>
                <w:position w:val="1"/>
              </w:rPr>
              <w:t>900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91"/>
              <w:spacing w:before="182" w:line="269" w:lineRule="exact"/>
              <w:rPr/>
            </w:pPr>
            <w:r>
              <w:rPr>
                <w:spacing w:val="-1"/>
                <w:position w:val="1"/>
              </w:rPr>
              <w:t>1000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22"/>
              <w:spacing w:before="182" w:line="269" w:lineRule="exact"/>
              <w:rPr/>
            </w:pPr>
            <w:r>
              <w:rPr>
                <w:spacing w:val="-1"/>
                <w:position w:val="1"/>
              </w:rPr>
              <w:t>1200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478"/>
              <w:spacing w:before="182" w:line="269" w:lineRule="exact"/>
              <w:rPr/>
            </w:pPr>
            <w:r>
              <w:rPr>
                <w:spacing w:val="-1"/>
                <w:position w:val="1"/>
              </w:rPr>
              <w:t>1400</w:t>
            </w:r>
          </w:p>
        </w:tc>
      </w:tr>
      <w:tr>
        <w:trPr>
          <w:trHeight w:val="572" w:hRule="atLeast"/>
        </w:trPr>
        <w:tc>
          <w:tcPr>
            <w:tcW w:w="10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pStyle w:val="TableText"/>
              <w:ind w:left="396"/>
              <w:spacing w:before="182" w:line="229" w:lineRule="auto"/>
              <w:rPr/>
            </w:pPr>
            <w:r>
              <w:rPr>
                <w:spacing w:val="17"/>
              </w:rPr>
              <w:t>照护4</w:t>
            </w:r>
            <w:r>
              <w:rPr>
                <w:spacing w:val="-38"/>
              </w:rPr>
              <w:t xml:space="preserve"> </w:t>
            </w:r>
            <w:r>
              <w:rPr>
                <w:spacing w:val="17"/>
              </w:rPr>
              <w:t>级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18"/>
              <w:spacing w:before="182" w:line="269" w:lineRule="exact"/>
              <w:rPr/>
            </w:pPr>
            <w:r>
              <w:rPr>
                <w:spacing w:val="-2"/>
                <w:position w:val="1"/>
              </w:rPr>
              <w:t>1000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99"/>
              <w:spacing w:before="182" w:line="269" w:lineRule="exact"/>
              <w:rPr/>
            </w:pPr>
            <w:r>
              <w:rPr>
                <w:spacing w:val="-2"/>
                <w:position w:val="1"/>
              </w:rPr>
              <w:t>1200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91"/>
              <w:spacing w:before="182" w:line="269" w:lineRule="exact"/>
              <w:rPr/>
            </w:pPr>
            <w:r>
              <w:rPr>
                <w:spacing w:val="-1"/>
                <w:position w:val="1"/>
              </w:rPr>
              <w:t>1300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22"/>
              <w:spacing w:before="182" w:line="269" w:lineRule="exact"/>
              <w:rPr/>
            </w:pPr>
            <w:r>
              <w:rPr>
                <w:spacing w:val="-1"/>
                <w:position w:val="1"/>
              </w:rPr>
              <w:t>1500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478"/>
              <w:spacing w:before="182" w:line="269" w:lineRule="exact"/>
              <w:rPr/>
            </w:pPr>
            <w:r>
              <w:rPr>
                <w:spacing w:val="-1"/>
                <w:position w:val="1"/>
              </w:rPr>
              <w:t>1700</w:t>
            </w:r>
          </w:p>
        </w:tc>
      </w:tr>
      <w:tr>
        <w:trPr>
          <w:trHeight w:val="572" w:hRule="atLeast"/>
        </w:trPr>
        <w:tc>
          <w:tcPr>
            <w:tcW w:w="10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pStyle w:val="TableText"/>
              <w:ind w:left="396"/>
              <w:spacing w:before="183" w:line="229" w:lineRule="auto"/>
              <w:rPr/>
            </w:pPr>
            <w:r>
              <w:rPr/>
              <w:t>照护</w:t>
            </w:r>
            <w:r>
              <w:rPr>
                <w:spacing w:val="-33"/>
              </w:rPr>
              <w:t xml:space="preserve"> </w:t>
            </w:r>
            <w:r>
              <w:rPr/>
              <w:t>5</w:t>
            </w:r>
            <w:r>
              <w:rPr>
                <w:spacing w:val="-37"/>
              </w:rPr>
              <w:t xml:space="preserve"> </w:t>
            </w:r>
            <w:r>
              <w:rPr/>
              <w:t>级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18"/>
              <w:spacing w:before="183" w:line="269" w:lineRule="exact"/>
              <w:rPr/>
            </w:pPr>
            <w:r>
              <w:rPr>
                <w:spacing w:val="-2"/>
                <w:position w:val="1"/>
              </w:rPr>
              <w:t>1200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99"/>
              <w:spacing w:before="183" w:line="269" w:lineRule="exact"/>
              <w:rPr/>
            </w:pPr>
            <w:r>
              <w:rPr>
                <w:spacing w:val="-2"/>
                <w:position w:val="1"/>
              </w:rPr>
              <w:t>1400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91"/>
              <w:spacing w:before="183" w:line="269" w:lineRule="exact"/>
              <w:rPr/>
            </w:pPr>
            <w:r>
              <w:rPr>
                <w:spacing w:val="-1"/>
                <w:position w:val="1"/>
              </w:rPr>
              <w:t>1800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09"/>
              <w:spacing w:before="183" w:line="269" w:lineRule="exact"/>
              <w:rPr/>
            </w:pPr>
            <w:r>
              <w:rPr>
                <w:spacing w:val="2"/>
                <w:position w:val="1"/>
              </w:rPr>
              <w:t>2000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465"/>
              <w:spacing w:before="183" w:line="269" w:lineRule="exact"/>
              <w:rPr/>
            </w:pPr>
            <w:r>
              <w:rPr>
                <w:spacing w:val="2"/>
                <w:position w:val="1"/>
              </w:rPr>
              <w:t>2200</w:t>
            </w:r>
          </w:p>
        </w:tc>
      </w:tr>
      <w:tr>
        <w:trPr>
          <w:trHeight w:val="576" w:hRule="atLeast"/>
        </w:trPr>
        <w:tc>
          <w:tcPr>
            <w:tcW w:w="10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pStyle w:val="TableText"/>
              <w:ind w:left="396"/>
              <w:spacing w:before="182" w:line="229" w:lineRule="auto"/>
              <w:rPr/>
            </w:pPr>
            <w:r>
              <w:rPr/>
              <w:t>照护</w:t>
            </w:r>
            <w:r>
              <w:rPr>
                <w:spacing w:val="-33"/>
              </w:rPr>
              <w:t xml:space="preserve"> </w:t>
            </w:r>
            <w:r>
              <w:rPr/>
              <w:t>6</w:t>
            </w:r>
            <w:r>
              <w:rPr>
                <w:spacing w:val="-37"/>
              </w:rPr>
              <w:t xml:space="preserve"> </w:t>
            </w:r>
            <w:r>
              <w:rPr/>
              <w:t>级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318"/>
              <w:spacing w:before="182" w:line="269" w:lineRule="exact"/>
              <w:rPr/>
            </w:pPr>
            <w:r>
              <w:rPr>
                <w:spacing w:val="-2"/>
                <w:position w:val="1"/>
              </w:rPr>
              <w:t>1400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99"/>
              <w:spacing w:before="182" w:line="269" w:lineRule="exact"/>
              <w:rPr/>
            </w:pPr>
            <w:r>
              <w:rPr>
                <w:spacing w:val="-2"/>
                <w:position w:val="1"/>
              </w:rPr>
              <w:t>1600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78"/>
              <w:spacing w:before="182" w:line="269" w:lineRule="exact"/>
              <w:rPr/>
            </w:pPr>
            <w:r>
              <w:rPr>
                <w:spacing w:val="2"/>
                <w:position w:val="1"/>
              </w:rPr>
              <w:t>2000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09"/>
              <w:spacing w:before="182" w:line="269" w:lineRule="exact"/>
              <w:rPr/>
            </w:pPr>
            <w:r>
              <w:rPr>
                <w:spacing w:val="2"/>
                <w:position w:val="1"/>
              </w:rPr>
              <w:t>2200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465"/>
              <w:spacing w:before="182" w:line="269" w:lineRule="exact"/>
              <w:rPr/>
            </w:pPr>
            <w:r>
              <w:rPr>
                <w:spacing w:val="2"/>
                <w:position w:val="1"/>
              </w:rPr>
              <w:t>2400</w:t>
            </w:r>
          </w:p>
        </w:tc>
      </w:tr>
    </w:tbl>
    <w:p>
      <w:pPr>
        <w:pStyle w:val="BodyText"/>
        <w:ind w:left="11"/>
        <w:spacing w:before="83" w:line="215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27"/>
          <w:w w:val="99"/>
        </w:rPr>
        <w:t>备注：</w:t>
      </w:r>
      <w:r>
        <w:rPr>
          <w:sz w:val="24"/>
          <w:szCs w:val="24"/>
          <w:spacing w:val="-27"/>
          <w:w w:val="99"/>
        </w:rPr>
        <w:t>1.</w:t>
      </w:r>
      <w:r>
        <w:rPr>
          <w:rFonts w:ascii="KaiTi_GB2312" w:hAnsi="KaiTi_GB2312" w:eastAsia="KaiTi_GB2312" w:cs="KaiTi_GB2312"/>
          <w:sz w:val="24"/>
          <w:szCs w:val="24"/>
          <w:spacing w:val="-27"/>
          <w:w w:val="99"/>
        </w:rPr>
        <w:t>表中价格为最高上限，下浮不限；</w:t>
      </w:r>
    </w:p>
    <w:p>
      <w:pPr>
        <w:pStyle w:val="BodyText"/>
        <w:ind w:left="640"/>
        <w:spacing w:before="81" w:line="215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sz w:val="24"/>
          <w:szCs w:val="24"/>
          <w:spacing w:val="-17"/>
          <w:w w:val="94"/>
        </w:rPr>
        <w:t>2.</w:t>
      </w:r>
      <w:r>
        <w:rPr>
          <w:rFonts w:ascii="KaiTi_GB2312" w:hAnsi="KaiTi_GB2312" w:eastAsia="KaiTi_GB2312" w:cs="KaiTi_GB2312"/>
          <w:sz w:val="24"/>
          <w:szCs w:val="24"/>
          <w:spacing w:val="-17"/>
          <w:w w:val="94"/>
        </w:rPr>
        <w:t>新建成、暂未评级养老机构标准根据实际情况确定价格。</w:t>
      </w:r>
    </w:p>
    <w:p>
      <w:pPr>
        <w:pStyle w:val="BodyText"/>
        <w:ind w:left="849" w:right="85" w:hanging="207"/>
        <w:spacing w:before="80" w:line="277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sz w:val="24"/>
          <w:szCs w:val="24"/>
          <w:spacing w:val="-23"/>
          <w:w w:val="97"/>
        </w:rPr>
        <w:t>3.</w:t>
      </w:r>
      <w:r>
        <w:rPr>
          <w:rFonts w:ascii="KaiTi_GB2312" w:hAnsi="KaiTi_GB2312" w:eastAsia="KaiTi_GB2312" w:cs="KaiTi_GB2312"/>
          <w:sz w:val="24"/>
          <w:szCs w:val="24"/>
          <w:spacing w:val="-23"/>
          <w:w w:val="97"/>
        </w:rPr>
        <w:t>根据《关于印发济南市老年人照护需求评估管理办法</w:t>
      </w:r>
      <w:r>
        <w:rPr>
          <w:sz w:val="24"/>
          <w:szCs w:val="24"/>
          <w:spacing w:val="-23"/>
          <w:w w:val="97"/>
        </w:rPr>
        <w:t>(2023</w:t>
      </w:r>
      <w:r>
        <w:rPr>
          <w:rFonts w:ascii="KaiTi_GB2312" w:hAnsi="KaiTi_GB2312" w:eastAsia="KaiTi_GB2312" w:cs="KaiTi_GB2312"/>
          <w:sz w:val="24"/>
          <w:szCs w:val="24"/>
          <w:spacing w:val="-23"/>
          <w:w w:val="97"/>
        </w:rPr>
        <w:t>修订版</w:t>
      </w:r>
      <w:r>
        <w:rPr>
          <w:sz w:val="24"/>
          <w:szCs w:val="24"/>
          <w:spacing w:val="-23"/>
          <w:w w:val="97"/>
        </w:rPr>
        <w:t>)</w:t>
      </w:r>
      <w:r>
        <w:rPr>
          <w:rFonts w:ascii="KaiTi_GB2312" w:hAnsi="KaiTi_GB2312" w:eastAsia="KaiTi_GB2312" w:cs="KaiTi_GB2312"/>
          <w:sz w:val="24"/>
          <w:szCs w:val="24"/>
          <w:spacing w:val="-23"/>
          <w:w w:val="97"/>
        </w:rPr>
        <w:t>的通知》，老年人照护</w:t>
      </w:r>
      <w:r>
        <w:rPr>
          <w:rFonts w:ascii="KaiTi_GB2312" w:hAnsi="KaiTi_GB2312" w:eastAsia="KaiTi_GB2312" w:cs="KaiTi_GB2312"/>
          <w:sz w:val="24"/>
          <w:szCs w:val="24"/>
          <w:spacing w:val="-17"/>
        </w:rPr>
        <w:t>需求划分为</w:t>
      </w:r>
      <w:r>
        <w:rPr>
          <w:sz w:val="24"/>
          <w:szCs w:val="24"/>
          <w:spacing w:val="-17"/>
        </w:rPr>
        <w:t>7</w:t>
      </w:r>
      <w:r>
        <w:rPr>
          <w:rFonts w:ascii="KaiTi_GB2312" w:hAnsi="KaiTi_GB2312" w:eastAsia="KaiTi_GB2312" w:cs="KaiTi_GB2312"/>
          <w:sz w:val="24"/>
          <w:szCs w:val="24"/>
          <w:spacing w:val="-17"/>
        </w:rPr>
        <w:t>个等级：</w:t>
      </w:r>
    </w:p>
    <w:p>
      <w:pPr>
        <w:pStyle w:val="BodyText"/>
        <w:ind w:left="645"/>
        <w:spacing w:line="216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18"/>
        </w:rPr>
        <w:t>照护</w:t>
      </w:r>
      <w:r>
        <w:rPr>
          <w:sz w:val="24"/>
          <w:szCs w:val="24"/>
          <w:spacing w:val="-18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级：能力完好（</w:t>
      </w:r>
      <w:r>
        <w:rPr>
          <w:sz w:val="24"/>
          <w:szCs w:val="24"/>
          <w:spacing w:val="-18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</w:t>
      </w:r>
      <w:r>
        <w:rPr>
          <w:rFonts w:ascii="KaiTi_GB2312" w:hAnsi="KaiTi_GB2312" w:eastAsia="KaiTi_GB2312" w:cs="KaiTi_GB2312"/>
          <w:sz w:val="24"/>
          <w:szCs w:val="24"/>
          <w:spacing w:val="-41"/>
        </w:rPr>
        <w:t>），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疾病状况</w:t>
      </w:r>
      <w:r>
        <w:rPr>
          <w:sz w:val="24"/>
          <w:szCs w:val="24"/>
          <w:spacing w:val="-18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级～</w:t>
      </w:r>
      <w:r>
        <w:rPr>
          <w:sz w:val="24"/>
          <w:szCs w:val="24"/>
          <w:spacing w:val="-18"/>
        </w:rPr>
        <w:t>2</w:t>
      </w:r>
      <w:r>
        <w:rPr>
          <w:sz w:val="24"/>
          <w:szCs w:val="24"/>
          <w:spacing w:val="-72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级，医疗照护</w:t>
      </w:r>
      <w:r>
        <w:rPr>
          <w:sz w:val="24"/>
          <w:szCs w:val="24"/>
          <w:spacing w:val="-18"/>
        </w:rPr>
        <w:t>0</w:t>
      </w:r>
      <w:r>
        <w:rPr>
          <w:sz w:val="24"/>
          <w:szCs w:val="24"/>
          <w:spacing w:val="-72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级；</w:t>
      </w:r>
    </w:p>
    <w:p>
      <w:pPr>
        <w:pStyle w:val="BodyText"/>
        <w:ind w:left="1676" w:right="35" w:hanging="1031"/>
        <w:spacing w:before="79" w:line="277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22"/>
        </w:rPr>
        <w:t>照护</w:t>
      </w:r>
      <w:r>
        <w:rPr>
          <w:sz w:val="24"/>
          <w:szCs w:val="24"/>
          <w:spacing w:val="-22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级：能力完好（</w:t>
      </w:r>
      <w:r>
        <w:rPr>
          <w:sz w:val="24"/>
          <w:szCs w:val="24"/>
          <w:spacing w:val="-22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</w:t>
      </w:r>
      <w:r>
        <w:rPr>
          <w:rFonts w:ascii="KaiTi_GB2312" w:hAnsi="KaiTi_GB2312" w:eastAsia="KaiTi_GB2312" w:cs="KaiTi_GB2312"/>
          <w:sz w:val="24"/>
          <w:szCs w:val="24"/>
          <w:spacing w:val="-38"/>
        </w:rPr>
        <w:t>），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疾病状况</w:t>
      </w:r>
      <w:r>
        <w:rPr>
          <w:sz w:val="24"/>
          <w:szCs w:val="24"/>
          <w:spacing w:val="-22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级～</w:t>
      </w:r>
      <w:r>
        <w:rPr>
          <w:sz w:val="24"/>
          <w:szCs w:val="24"/>
          <w:spacing w:val="-22"/>
        </w:rPr>
        <w:t>2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级，医疗照护</w:t>
      </w:r>
      <w:r>
        <w:rPr>
          <w:sz w:val="24"/>
          <w:szCs w:val="24"/>
          <w:spacing w:val="-22"/>
        </w:rPr>
        <w:t>1</w:t>
      </w:r>
      <w:r>
        <w:rPr>
          <w:sz w:val="24"/>
          <w:szCs w:val="24"/>
          <w:spacing w:val="-71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级；或能力轻度受损（轻度</w:t>
      </w:r>
      <w:r>
        <w:rPr>
          <w:rFonts w:ascii="KaiTi_GB2312" w:hAnsi="KaiTi_GB2312" w:eastAsia="KaiTi_GB2312" w:cs="KaiTi_GB2312"/>
          <w:sz w:val="24"/>
          <w:szCs w:val="24"/>
          <w:spacing w:val="-10"/>
        </w:rPr>
        <w:t>失能</w:t>
      </w:r>
      <w:r>
        <w:rPr>
          <w:rFonts w:ascii="KaiTi_GB2312" w:hAnsi="KaiTi_GB2312" w:eastAsia="KaiTi_GB2312" w:cs="KaiTi_GB2312"/>
          <w:sz w:val="24"/>
          <w:szCs w:val="24"/>
          <w:spacing w:val="-53"/>
        </w:rPr>
        <w:t>）（</w:t>
      </w:r>
      <w:r>
        <w:rPr>
          <w:sz w:val="24"/>
          <w:szCs w:val="24"/>
          <w:spacing w:val="-10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10"/>
        </w:rPr>
        <w:t>级</w:t>
      </w:r>
      <w:r>
        <w:rPr>
          <w:rFonts w:ascii="KaiTi_GB2312" w:hAnsi="KaiTi_GB2312" w:eastAsia="KaiTi_GB2312" w:cs="KaiTi_GB2312"/>
          <w:sz w:val="24"/>
          <w:szCs w:val="24"/>
          <w:spacing w:val="-53"/>
        </w:rPr>
        <w:t>），</w:t>
      </w:r>
      <w:r>
        <w:rPr>
          <w:rFonts w:ascii="KaiTi_GB2312" w:hAnsi="KaiTi_GB2312" w:eastAsia="KaiTi_GB2312" w:cs="KaiTi_GB2312"/>
          <w:sz w:val="24"/>
          <w:szCs w:val="24"/>
          <w:spacing w:val="-10"/>
        </w:rPr>
        <w:t>疾病状况</w:t>
      </w:r>
      <w:r>
        <w:rPr>
          <w:sz w:val="24"/>
          <w:szCs w:val="24"/>
          <w:spacing w:val="-10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10"/>
        </w:rPr>
        <w:t>级，医疗照护</w:t>
      </w:r>
      <w:r>
        <w:rPr>
          <w:sz w:val="24"/>
          <w:szCs w:val="24"/>
          <w:spacing w:val="-10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10"/>
        </w:rPr>
        <w:t>级；</w:t>
      </w:r>
    </w:p>
    <w:p>
      <w:pPr>
        <w:pStyle w:val="BodyText"/>
        <w:ind w:left="645"/>
        <w:spacing w:line="216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17"/>
        </w:rPr>
        <w:t>照护</w:t>
      </w:r>
      <w:r>
        <w:rPr>
          <w:sz w:val="24"/>
          <w:szCs w:val="24"/>
          <w:spacing w:val="-17"/>
        </w:rPr>
        <w:t>2</w:t>
      </w:r>
      <w:r>
        <w:rPr>
          <w:rFonts w:ascii="KaiTi_GB2312" w:hAnsi="KaiTi_GB2312" w:eastAsia="KaiTi_GB2312" w:cs="KaiTi_GB2312"/>
          <w:sz w:val="24"/>
          <w:szCs w:val="24"/>
          <w:spacing w:val="-17"/>
        </w:rPr>
        <w:t>级：能力轻度受损（轻度失能</w:t>
      </w:r>
      <w:r>
        <w:rPr>
          <w:rFonts w:ascii="KaiTi_GB2312" w:hAnsi="KaiTi_GB2312" w:eastAsia="KaiTi_GB2312" w:cs="KaiTi_GB2312"/>
          <w:sz w:val="24"/>
          <w:szCs w:val="24"/>
          <w:spacing w:val="-55"/>
        </w:rPr>
        <w:t>）（</w:t>
      </w:r>
      <w:r>
        <w:rPr>
          <w:sz w:val="24"/>
          <w:szCs w:val="24"/>
          <w:spacing w:val="-17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17"/>
        </w:rPr>
        <w:t>级</w:t>
      </w:r>
      <w:r>
        <w:rPr>
          <w:rFonts w:ascii="KaiTi_GB2312" w:hAnsi="KaiTi_GB2312" w:eastAsia="KaiTi_GB2312" w:cs="KaiTi_GB2312"/>
          <w:sz w:val="24"/>
          <w:szCs w:val="24"/>
          <w:spacing w:val="-55"/>
        </w:rPr>
        <w:t>），</w:t>
      </w:r>
      <w:r>
        <w:rPr>
          <w:rFonts w:ascii="KaiTi_GB2312" w:hAnsi="KaiTi_GB2312" w:eastAsia="KaiTi_GB2312" w:cs="KaiTi_GB2312"/>
          <w:sz w:val="24"/>
          <w:szCs w:val="24"/>
          <w:spacing w:val="-17"/>
        </w:rPr>
        <w:t>疾病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状况</w:t>
      </w:r>
      <w:r>
        <w:rPr>
          <w:sz w:val="24"/>
          <w:szCs w:val="24"/>
          <w:spacing w:val="-18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级，医疗照护</w:t>
      </w:r>
      <w:r>
        <w:rPr>
          <w:sz w:val="24"/>
          <w:szCs w:val="24"/>
          <w:spacing w:val="-18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级～</w:t>
      </w:r>
      <w:r>
        <w:rPr>
          <w:sz w:val="24"/>
          <w:szCs w:val="24"/>
          <w:spacing w:val="-18"/>
        </w:rPr>
        <w:t>1</w:t>
      </w:r>
      <w:r>
        <w:rPr>
          <w:sz w:val="24"/>
          <w:szCs w:val="24"/>
          <w:spacing w:val="-69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级；</w:t>
      </w:r>
    </w:p>
    <w:p>
      <w:pPr>
        <w:pStyle w:val="BodyText"/>
        <w:ind w:left="645"/>
        <w:spacing w:before="79" w:line="216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19"/>
        </w:rPr>
        <w:t>照护</w:t>
      </w:r>
      <w:r>
        <w:rPr>
          <w:sz w:val="24"/>
          <w:szCs w:val="24"/>
          <w:spacing w:val="-19"/>
        </w:rPr>
        <w:t>3</w:t>
      </w:r>
      <w:r>
        <w:rPr>
          <w:rFonts w:ascii="KaiTi_GB2312" w:hAnsi="KaiTi_GB2312" w:eastAsia="KaiTi_GB2312" w:cs="KaiTi_GB2312"/>
          <w:sz w:val="24"/>
          <w:szCs w:val="24"/>
          <w:spacing w:val="-19"/>
        </w:rPr>
        <w:t>级：能力轻度受损（轻度失能</w:t>
      </w:r>
      <w:r>
        <w:rPr>
          <w:rFonts w:ascii="KaiTi_GB2312" w:hAnsi="KaiTi_GB2312" w:eastAsia="KaiTi_GB2312" w:cs="KaiTi_GB2312"/>
          <w:sz w:val="24"/>
          <w:szCs w:val="24"/>
          <w:spacing w:val="-50"/>
        </w:rPr>
        <w:t>）（</w:t>
      </w:r>
      <w:r>
        <w:rPr>
          <w:sz w:val="24"/>
          <w:szCs w:val="24"/>
          <w:spacing w:val="-19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19"/>
        </w:rPr>
        <w:t>级</w:t>
      </w:r>
      <w:r>
        <w:rPr>
          <w:rFonts w:ascii="KaiTi_GB2312" w:hAnsi="KaiTi_GB2312" w:eastAsia="KaiTi_GB2312" w:cs="KaiTi_GB2312"/>
          <w:sz w:val="24"/>
          <w:szCs w:val="24"/>
          <w:spacing w:val="-50"/>
        </w:rPr>
        <w:t>），</w:t>
      </w:r>
      <w:r>
        <w:rPr>
          <w:rFonts w:ascii="KaiTi_GB2312" w:hAnsi="KaiTi_GB2312" w:eastAsia="KaiTi_GB2312" w:cs="KaiTi_GB2312"/>
          <w:sz w:val="24"/>
          <w:szCs w:val="24"/>
          <w:spacing w:val="-19"/>
        </w:rPr>
        <w:t>疾病状况</w:t>
      </w:r>
      <w:r>
        <w:rPr>
          <w:sz w:val="24"/>
          <w:szCs w:val="24"/>
          <w:spacing w:val="-19"/>
        </w:rPr>
        <w:t>2</w:t>
      </w:r>
      <w:r>
        <w:rPr>
          <w:rFonts w:ascii="KaiTi_GB2312" w:hAnsi="KaiTi_GB2312" w:eastAsia="KaiTi_GB2312" w:cs="KaiTi_GB2312"/>
          <w:sz w:val="24"/>
          <w:szCs w:val="24"/>
          <w:spacing w:val="-19"/>
        </w:rPr>
        <w:t>级，医疗照护</w:t>
      </w:r>
      <w:r>
        <w:rPr>
          <w:sz w:val="24"/>
          <w:szCs w:val="24"/>
          <w:spacing w:val="-19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19"/>
        </w:rPr>
        <w:t>级～</w:t>
      </w:r>
      <w:r>
        <w:rPr>
          <w:sz w:val="24"/>
          <w:szCs w:val="24"/>
          <w:spacing w:val="-19"/>
        </w:rPr>
        <w:t>2</w:t>
      </w:r>
      <w:r>
        <w:rPr>
          <w:sz w:val="24"/>
          <w:szCs w:val="24"/>
          <w:spacing w:val="-72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19"/>
        </w:rPr>
        <w:t>级；或</w:t>
      </w:r>
    </w:p>
    <w:p>
      <w:pPr>
        <w:pStyle w:val="BodyText"/>
        <w:ind w:left="645" w:right="511" w:firstLine="1037"/>
        <w:spacing w:before="81" w:line="276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22"/>
        </w:rPr>
        <w:t>能力中度受损（中度失能</w:t>
      </w:r>
      <w:r>
        <w:rPr>
          <w:rFonts w:ascii="KaiTi_GB2312" w:hAnsi="KaiTi_GB2312" w:eastAsia="KaiTi_GB2312" w:cs="KaiTi_GB2312"/>
          <w:sz w:val="24"/>
          <w:szCs w:val="24"/>
          <w:spacing w:val="-55"/>
        </w:rPr>
        <w:t>）（</w:t>
      </w:r>
      <w:r>
        <w:rPr>
          <w:sz w:val="24"/>
          <w:szCs w:val="24"/>
          <w:spacing w:val="-22"/>
        </w:rPr>
        <w:t>2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</w:t>
      </w:r>
      <w:r>
        <w:rPr>
          <w:rFonts w:ascii="KaiTi_GB2312" w:hAnsi="KaiTi_GB2312" w:eastAsia="KaiTi_GB2312" w:cs="KaiTi_GB2312"/>
          <w:sz w:val="24"/>
          <w:szCs w:val="24"/>
          <w:spacing w:val="-55"/>
        </w:rPr>
        <w:t>），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疾病状况</w:t>
      </w:r>
      <w:r>
        <w:rPr>
          <w:sz w:val="24"/>
          <w:szCs w:val="24"/>
          <w:spacing w:val="-22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级，医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疗照护</w:t>
      </w:r>
      <w:r>
        <w:rPr>
          <w:sz w:val="24"/>
          <w:szCs w:val="24"/>
          <w:spacing w:val="-23"/>
        </w:rPr>
        <w:t>0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级～</w:t>
      </w:r>
      <w:r>
        <w:rPr>
          <w:sz w:val="24"/>
          <w:szCs w:val="24"/>
          <w:spacing w:val="-23"/>
        </w:rPr>
        <w:t>1</w:t>
      </w:r>
      <w:r>
        <w:rPr>
          <w:sz w:val="24"/>
          <w:szCs w:val="24"/>
          <w:spacing w:val="-69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级；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照护</w:t>
      </w:r>
      <w:r>
        <w:rPr>
          <w:sz w:val="24"/>
          <w:szCs w:val="24"/>
          <w:spacing w:val="-22"/>
        </w:rPr>
        <w:t>4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级：能力中度受损（中度失能</w:t>
      </w:r>
      <w:r>
        <w:rPr>
          <w:rFonts w:ascii="KaiTi_GB2312" w:hAnsi="KaiTi_GB2312" w:eastAsia="KaiTi_GB2312" w:cs="KaiTi_GB2312"/>
          <w:sz w:val="24"/>
          <w:szCs w:val="24"/>
          <w:spacing w:val="-52"/>
        </w:rPr>
        <w:t>）（</w:t>
      </w:r>
      <w:r>
        <w:rPr>
          <w:sz w:val="24"/>
          <w:szCs w:val="24"/>
          <w:spacing w:val="-22"/>
        </w:rPr>
        <w:t>2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</w:t>
      </w:r>
      <w:r>
        <w:rPr>
          <w:rFonts w:ascii="KaiTi_GB2312" w:hAnsi="KaiTi_GB2312" w:eastAsia="KaiTi_GB2312" w:cs="KaiTi_GB2312"/>
          <w:sz w:val="24"/>
          <w:szCs w:val="24"/>
          <w:spacing w:val="-52"/>
        </w:rPr>
        <w:t>），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疾病状况</w:t>
      </w:r>
      <w:r>
        <w:rPr>
          <w:sz w:val="24"/>
          <w:szCs w:val="24"/>
          <w:spacing w:val="-22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级～</w:t>
      </w:r>
      <w:r>
        <w:rPr>
          <w:sz w:val="24"/>
          <w:szCs w:val="24"/>
          <w:spacing w:val="-22"/>
        </w:rPr>
        <w:t>2</w:t>
      </w:r>
      <w:r>
        <w:rPr>
          <w:sz w:val="24"/>
          <w:szCs w:val="24"/>
          <w:spacing w:val="-71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级，医疗照护</w:t>
      </w:r>
      <w:r>
        <w:rPr>
          <w:sz w:val="24"/>
          <w:szCs w:val="24"/>
          <w:spacing w:val="-22"/>
        </w:rPr>
        <w:t>2</w:t>
      </w:r>
      <w:r>
        <w:rPr>
          <w:sz w:val="24"/>
          <w:szCs w:val="24"/>
          <w:spacing w:val="-72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2"/>
        </w:rPr>
        <w:t>级；</w:t>
      </w:r>
    </w:p>
    <w:p>
      <w:pPr>
        <w:pStyle w:val="BodyText"/>
        <w:spacing w:before="1" w:line="216" w:lineRule="auto"/>
        <w:jc w:val="right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23"/>
        </w:rPr>
        <w:t>照护</w:t>
      </w:r>
      <w:r>
        <w:rPr>
          <w:sz w:val="24"/>
          <w:szCs w:val="24"/>
          <w:spacing w:val="-23"/>
        </w:rPr>
        <w:t>5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级：能力重度受损（重度失能</w:t>
      </w:r>
      <w:r>
        <w:rPr>
          <w:rFonts w:ascii="KaiTi_GB2312" w:hAnsi="KaiTi_GB2312" w:eastAsia="KaiTi_GB2312" w:cs="KaiTi_GB2312"/>
          <w:sz w:val="24"/>
          <w:szCs w:val="24"/>
          <w:spacing w:val="-60"/>
        </w:rPr>
        <w:t>）（</w:t>
      </w:r>
      <w:r>
        <w:rPr>
          <w:sz w:val="24"/>
          <w:szCs w:val="24"/>
          <w:spacing w:val="-23"/>
        </w:rPr>
        <w:t>3</w:t>
      </w:r>
      <w:r>
        <w:rPr>
          <w:sz w:val="24"/>
          <w:szCs w:val="24"/>
          <w:spacing w:val="-72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级</w:t>
      </w:r>
      <w:r>
        <w:rPr>
          <w:rFonts w:ascii="KaiTi_GB2312" w:hAnsi="KaiTi_GB2312" w:eastAsia="KaiTi_GB2312" w:cs="KaiTi_GB2312"/>
          <w:sz w:val="24"/>
          <w:szCs w:val="24"/>
          <w:spacing w:val="-60"/>
        </w:rPr>
        <w:t>），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疾病状况</w:t>
      </w:r>
      <w:r>
        <w:rPr>
          <w:sz w:val="24"/>
          <w:szCs w:val="24"/>
          <w:spacing w:val="-23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级～</w:t>
      </w:r>
      <w:r>
        <w:rPr>
          <w:sz w:val="24"/>
          <w:szCs w:val="24"/>
          <w:spacing w:val="-23"/>
        </w:rPr>
        <w:t>2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级，医疗照护</w:t>
      </w:r>
      <w:r>
        <w:rPr>
          <w:sz w:val="24"/>
          <w:szCs w:val="24"/>
          <w:spacing w:val="-23"/>
        </w:rPr>
        <w:t>1</w:t>
      </w:r>
      <w:r>
        <w:rPr>
          <w:sz w:val="24"/>
          <w:szCs w:val="24"/>
          <w:spacing w:val="-72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级～</w:t>
      </w:r>
      <w:r>
        <w:rPr>
          <w:sz w:val="24"/>
          <w:szCs w:val="24"/>
          <w:spacing w:val="-23"/>
        </w:rPr>
        <w:t>3</w:t>
      </w:r>
      <w:r>
        <w:rPr>
          <w:sz w:val="24"/>
          <w:szCs w:val="24"/>
          <w:spacing w:val="-71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23"/>
        </w:rPr>
        <w:t>级；</w:t>
      </w:r>
    </w:p>
    <w:p>
      <w:pPr>
        <w:pStyle w:val="BodyText"/>
        <w:ind w:left="645"/>
        <w:spacing w:before="79" w:line="219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18"/>
        </w:rPr>
        <w:t>照护</w:t>
      </w:r>
      <w:r>
        <w:rPr>
          <w:sz w:val="24"/>
          <w:szCs w:val="24"/>
          <w:spacing w:val="-18"/>
        </w:rPr>
        <w:t>6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级：能力完全丧失（完全失能</w:t>
      </w:r>
      <w:r>
        <w:rPr>
          <w:rFonts w:ascii="KaiTi_GB2312" w:hAnsi="KaiTi_GB2312" w:eastAsia="KaiTi_GB2312" w:cs="KaiTi_GB2312"/>
          <w:sz w:val="24"/>
          <w:szCs w:val="24"/>
          <w:spacing w:val="-67"/>
        </w:rPr>
        <w:t>）（</w:t>
      </w:r>
      <w:r>
        <w:rPr>
          <w:sz w:val="24"/>
          <w:szCs w:val="24"/>
          <w:spacing w:val="-18"/>
        </w:rPr>
        <w:t>4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级）或疾病状况</w:t>
      </w:r>
      <w:r>
        <w:rPr>
          <w:sz w:val="24"/>
          <w:szCs w:val="24"/>
          <w:spacing w:val="-18"/>
        </w:rPr>
        <w:t>3</w:t>
      </w:r>
      <w:r>
        <w:rPr>
          <w:rFonts w:ascii="KaiTi_GB2312" w:hAnsi="KaiTi_GB2312" w:eastAsia="KaiTi_GB2312" w:cs="KaiTi_GB2312"/>
          <w:sz w:val="24"/>
          <w:szCs w:val="24"/>
          <w:spacing w:val="-18"/>
        </w:rPr>
        <w:t>级或医疗照护</w:t>
      </w:r>
      <w:r>
        <w:rPr>
          <w:sz w:val="24"/>
          <w:szCs w:val="24"/>
          <w:spacing w:val="-18"/>
        </w:rPr>
        <w:t>4</w:t>
      </w:r>
      <w:r>
        <w:rPr>
          <w:rFonts w:ascii="KaiTi_GB2312" w:hAnsi="KaiTi_GB2312" w:eastAsia="KaiTi_GB2312" w:cs="KaiTi_GB2312"/>
          <w:sz w:val="24"/>
          <w:szCs w:val="24"/>
          <w:spacing w:val="-19"/>
        </w:rPr>
        <w:t>级。</w:t>
      </w:r>
    </w:p>
    <w:p>
      <w:pPr>
        <w:spacing w:line="219" w:lineRule="auto"/>
        <w:sectPr>
          <w:headerReference w:type="default" r:id="rId4"/>
          <w:footerReference w:type="default" r:id="rId5"/>
          <w:pgSz w:w="11906" w:h="16839"/>
          <w:pgMar w:top="2203" w:right="1404" w:bottom="1852" w:left="1464" w:header="1712" w:footer="1487" w:gutter="0"/>
        </w:sectPr>
        <w:rPr>
          <w:rFonts w:ascii="KaiTi_GB2312" w:hAnsi="KaiTi_GB2312" w:eastAsia="KaiTi_GB2312" w:cs="KaiTi_GB2312"/>
          <w:sz w:val="24"/>
          <w:szCs w:val="24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30" w:lineRule="exact"/>
        <w:rPr/>
      </w:pPr>
      <w:r>
        <w:rPr/>
        <w:drawing>
          <wp:inline distT="0" distB="0" distL="0" distR="0">
            <wp:extent cx="5598144" cy="1889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8144" cy="1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7"/>
        <w:spacing w:before="17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济南市莱芜区发展和改革局办公室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</w:t>
      </w:r>
      <w:r>
        <w:rPr>
          <w:sz w:val="28"/>
          <w:szCs w:val="28"/>
          <w:spacing w:val="-5"/>
        </w:rPr>
        <w:t>2026</w:t>
      </w:r>
      <w:r>
        <w:rPr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</w:t>
      </w:r>
      <w:r>
        <w:rPr>
          <w:rFonts w:ascii="FangSong" w:hAnsi="FangSong" w:eastAsia="FangSong" w:cs="FangSong"/>
          <w:sz w:val="28"/>
          <w:szCs w:val="28"/>
          <w:spacing w:val="-35"/>
        </w:rPr>
        <w:t xml:space="preserve"> </w:t>
      </w:r>
      <w:r>
        <w:rPr>
          <w:sz w:val="28"/>
          <w:szCs w:val="28"/>
          <w:spacing w:val="-5"/>
        </w:rPr>
        <w:t>1</w:t>
      </w:r>
      <w:r>
        <w:rPr>
          <w:sz w:val="28"/>
          <w:szCs w:val="28"/>
          <w:spacing w:val="-3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月</w:t>
      </w:r>
      <w:r>
        <w:rPr>
          <w:rFonts w:ascii="FangSong" w:hAnsi="FangSong" w:eastAsia="FangSong" w:cs="FangSong"/>
          <w:sz w:val="28"/>
          <w:szCs w:val="28"/>
          <w:spacing w:val="-51"/>
        </w:rPr>
        <w:t xml:space="preserve"> </w:t>
      </w:r>
      <w:r>
        <w:rPr>
          <w:sz w:val="28"/>
          <w:szCs w:val="28"/>
          <w:spacing w:val="-5"/>
        </w:rPr>
        <w:t>2 </w:t>
      </w:r>
      <w:r>
        <w:rPr>
          <w:rFonts w:ascii="FangSong" w:hAnsi="FangSong" w:eastAsia="FangSong" w:cs="FangSong"/>
          <w:sz w:val="28"/>
          <w:szCs w:val="28"/>
          <w:spacing w:val="-5"/>
        </w:rPr>
        <w:t>日印发</w:t>
      </w:r>
    </w:p>
    <w:p>
      <w:pPr>
        <w:spacing w:before="98" w:line="30" w:lineRule="exact"/>
        <w:rPr/>
      </w:pPr>
      <w:r>
        <w:rPr/>
        <w:drawing>
          <wp:inline distT="0" distB="0" distL="0" distR="0">
            <wp:extent cx="5598144" cy="1889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8144" cy="1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06" w:h="16839"/>
      <w:pgMar w:top="400" w:right="1620" w:bottom="1852" w:left="1469" w:header="0" w:footer="14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68"/>
      <w:spacing w:before="1" w:line="235" w:lineRule="auto"/>
      <w:rPr>
        <w:sz w:val="28"/>
        <w:szCs w:val="28"/>
      </w:rPr>
    </w:pPr>
    <w:r>
      <w:rPr>
        <w:sz w:val="28"/>
        <w:szCs w:val="28"/>
        <w:spacing w:val="-13"/>
      </w:rPr>
      <w:t>—</w:t>
    </w:r>
    <w:r>
      <w:rPr>
        <w:sz w:val="28"/>
        <w:szCs w:val="28"/>
        <w:spacing w:val="30"/>
      </w:rPr>
      <w:t xml:space="preserve"> </w:t>
    </w:r>
    <w:r>
      <w:rPr>
        <w:sz w:val="28"/>
        <w:szCs w:val="28"/>
        <w:spacing w:val="-13"/>
      </w:rPr>
      <w:t>1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5" w:lineRule="auto"/>
      <w:rPr>
        <w:sz w:val="28"/>
        <w:szCs w:val="28"/>
      </w:rPr>
    </w:pPr>
    <w:r>
      <w:rPr>
        <w:sz w:val="28"/>
        <w:szCs w:val="28"/>
        <w:spacing w:val="-8"/>
      </w:rPr>
      <w:t>—</w:t>
    </w:r>
    <w:r>
      <w:rPr>
        <w:sz w:val="28"/>
        <w:szCs w:val="28"/>
        <w:spacing w:val="14"/>
      </w:rPr>
      <w:t xml:space="preserve"> </w:t>
    </w:r>
    <w:r>
      <w:rPr>
        <w:sz w:val="28"/>
        <w:szCs w:val="28"/>
        <w:spacing w:val="-8"/>
      </w:rPr>
      <w:t>2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95"/>
      <w:spacing w:line="234" w:lineRule="auto"/>
      <w:rPr>
        <w:sz w:val="28"/>
        <w:szCs w:val="28"/>
      </w:rPr>
    </w:pPr>
    <w:r>
      <w:rPr>
        <w:sz w:val="28"/>
        <w:szCs w:val="28"/>
        <w:spacing w:val="-8"/>
      </w:rPr>
      <w:t>—</w:t>
    </w:r>
    <w:r>
      <w:rPr>
        <w:sz w:val="28"/>
        <w:szCs w:val="28"/>
        <w:spacing w:val="15"/>
      </w:rPr>
      <w:t xml:space="preserve"> </w:t>
    </w:r>
    <w:r>
      <w:rPr>
        <w:sz w:val="28"/>
        <w:szCs w:val="28"/>
        <w:spacing w:val="-8"/>
      </w:rPr>
      <w:t>3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"/>
      <w:spacing w:before="1" w:line="235" w:lineRule="auto"/>
      <w:rPr>
        <w:sz w:val="28"/>
        <w:szCs w:val="28"/>
      </w:rPr>
    </w:pPr>
    <w:r>
      <w:rPr>
        <w:sz w:val="28"/>
        <w:szCs w:val="28"/>
        <w:spacing w:val="-6"/>
      </w:rPr>
      <w:t>—</w:t>
    </w:r>
    <w:r>
      <w:rPr>
        <w:sz w:val="28"/>
        <w:szCs w:val="28"/>
        <w:spacing w:val="8"/>
      </w:rPr>
      <w:t xml:space="preserve"> </w:t>
    </w:r>
    <w:r>
      <w:rPr>
        <w:sz w:val="28"/>
        <w:szCs w:val="28"/>
        <w:spacing w:val="-6"/>
      </w:rPr>
      <w:t>4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6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"/>
      <w:spacing w:before="83" w:line="230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6"/>
      </w:rPr>
      <w:t>附件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footer" Target="footer4.xml"/><Relationship Id="rId6" Type="http://schemas.openxmlformats.org/officeDocument/2006/relationships/header" Target="header2.xml"/><Relationship Id="rId5" Type="http://schemas.openxmlformats.org/officeDocument/2006/relationships/footer" Target="footer3.xml"/><Relationship Id="rId4" Type="http://schemas.openxmlformats.org/officeDocument/2006/relationships/header" Target="header1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关于莱城区2008年城内中学招生计划的请示</dc:title>
  <dc:creator>雨林木风</dc:creator>
  <dcterms:created xsi:type="dcterms:W3CDTF">2026-03-24T09:27:07Z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2026-04-21T16:09:23</vt:filetime>
  </property>
</Properties>
</file>