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DF88A">
      <w:pPr>
        <w:spacing w:before="143" w:line="219" w:lineRule="auto"/>
        <w:jc w:val="center"/>
        <w:rPr>
          <w:rFonts w:hint="eastAsia" w:ascii="仿宋_GB2312" w:hAnsi="仿宋_GB2312" w:eastAsia="仿宋_GB2312" w:cs="仿宋_GB2312"/>
          <w:sz w:val="32"/>
          <w:szCs w:val="32"/>
        </w:rPr>
      </w:pPr>
    </w:p>
    <w:p w14:paraId="43B2608C">
      <w:pPr>
        <w:spacing w:line="600" w:lineRule="exact"/>
        <w:jc w:val="center"/>
        <w:rPr>
          <w:rFonts w:hint="eastAsia" w:ascii="方正小标宋简体" w:hAnsi="宋体" w:eastAsia="方正小标宋简体" w:cs="宋体"/>
          <w:bCs/>
          <w:spacing w:val="-6"/>
          <w:sz w:val="44"/>
          <w:szCs w:val="44"/>
        </w:rPr>
      </w:pPr>
      <w:r>
        <w:rPr>
          <w:rFonts w:hint="eastAsia" w:ascii="仿宋_GB2312" w:hAnsi="华文中宋" w:eastAsia="仿宋_GB2312"/>
          <w:sz w:val="32"/>
        </w:rPr>
        <w:pict>
          <v:group id="_x0000_s1026" o:spid="_x0000_s1026" o:spt="203" style="position:absolute;left:0pt;margin-left:0.25pt;margin-top:-8.7pt;height:160.15pt;width:440.75pt;z-index:251660288;mso-width-relative:page;mso-height-relative:page;" coordsize="8815,3203">
            <o:lock v:ext="edit" rotation="f" text="f" aspectratio="f"/>
            <v:line id="_x0000_s1027" o:spid="_x0000_s1027" o:spt="20" style="position:absolute;left:0;top:3175;flip:y;height:28;width:8815;" filled="f" stroked="t" coordsize="21600,21600">
              <v:path arrowok="t"/>
              <v:fill on="f" focussize="0,0"/>
              <v:stroke weight="1.5pt" color="#FF0000"/>
              <v:imagedata o:title=""/>
              <o:lock v:ext="edit" aspectratio="f"/>
            </v:line>
            <v:shape id="_x0000_s1028" o:spid="_x0000_s1028" o:spt="136" type="#_x0000_t136" style="position:absolute;left:83;top:0;height:1218;width:8610;" fillcolor="#FF0000" filled="t" stroked="t" coordsize="21600,21600" adj="10800">
              <v:path/>
              <v:fill on="t" color2="#FFFFFF" focussize="0,0"/>
              <v:stroke color="#FF0000"/>
              <v:imagedata o:title=""/>
              <o:lock v:ext="edit" aspectratio="f"/>
              <v:textpath on="t" fitshape="t" fitpath="t" trim="t" xscale="f" string="  济南市莱芜区城乡交通运输局文件" style="font-family:方正小标宋简体;font-size:20pt;v-text-align:center;"/>
            </v:shape>
          </v:group>
        </w:pict>
      </w:r>
    </w:p>
    <w:p w14:paraId="6B713D4B">
      <w:pPr>
        <w:spacing w:line="600" w:lineRule="exact"/>
        <w:jc w:val="center"/>
        <w:rPr>
          <w:rFonts w:hint="eastAsia" w:ascii="方正小标宋简体" w:hAnsi="宋体" w:eastAsia="方正小标宋简体" w:cs="宋体"/>
          <w:bCs/>
          <w:spacing w:val="-6"/>
          <w:sz w:val="44"/>
          <w:szCs w:val="44"/>
        </w:rPr>
      </w:pPr>
    </w:p>
    <w:p w14:paraId="2EB9F7CD">
      <w:pPr>
        <w:spacing w:line="600" w:lineRule="exact"/>
        <w:jc w:val="both"/>
        <w:rPr>
          <w:rFonts w:hint="eastAsia" w:ascii="方正小标宋简体" w:hAnsi="宋体" w:eastAsia="方正小标宋简体" w:cs="宋体"/>
          <w:bCs/>
          <w:spacing w:val="-6"/>
          <w:sz w:val="44"/>
          <w:szCs w:val="44"/>
        </w:rPr>
      </w:pPr>
    </w:p>
    <w:p w14:paraId="26C9806D">
      <w:pPr>
        <w:keepNext w:val="0"/>
        <w:keepLines w:val="0"/>
        <w:pageBreakBefore w:val="0"/>
        <w:wordWrap/>
        <w:overflowPunct/>
        <w:topLinePunct w:val="0"/>
        <w:bidi w:val="0"/>
        <w:spacing w:line="600" w:lineRule="exact"/>
        <w:jc w:val="center"/>
        <w:rPr>
          <w:rFonts w:hint="eastAsia" w:ascii="仿宋_GB2312" w:hAnsi="仿宋_GB2312" w:eastAsia="仿宋_GB2312" w:cs="仿宋_GB2312"/>
          <w:b w:val="0"/>
          <w:bCs w:val="0"/>
          <w:snapToGrid/>
          <w:color w:val="auto"/>
          <w:kern w:val="2"/>
          <w:sz w:val="32"/>
          <w:szCs w:val="32"/>
          <w:lang w:val="en-US" w:eastAsia="zh-CN"/>
        </w:rPr>
      </w:pPr>
    </w:p>
    <w:p w14:paraId="0FC18E38">
      <w:pPr>
        <w:keepNext w:val="0"/>
        <w:keepLines w:val="0"/>
        <w:pageBreakBefore w:val="0"/>
        <w:wordWrap/>
        <w:overflowPunct/>
        <w:topLinePunct w:val="0"/>
        <w:bidi w:val="0"/>
        <w:spacing w:line="600" w:lineRule="exact"/>
        <w:jc w:val="center"/>
        <w:rPr>
          <w:rFonts w:hint="eastAsia" w:ascii="方正小标宋简体" w:hAnsi="宋体" w:eastAsia="方正小标宋简体" w:cs="宋体"/>
          <w:bCs/>
          <w:spacing w:val="-6"/>
          <w:sz w:val="44"/>
          <w:szCs w:val="44"/>
        </w:rPr>
      </w:pPr>
      <w:r>
        <w:rPr>
          <w:rFonts w:hint="eastAsia" w:ascii="仿宋_GB2312" w:hAnsi="仿宋_GB2312" w:eastAsia="仿宋_GB2312" w:cs="仿宋_GB2312"/>
          <w:b w:val="0"/>
          <w:bCs w:val="0"/>
          <w:snapToGrid/>
          <w:color w:val="auto"/>
          <w:kern w:val="2"/>
          <w:sz w:val="32"/>
          <w:szCs w:val="32"/>
          <w:lang w:val="en-US" w:eastAsia="zh-CN"/>
        </w:rPr>
        <w:t>莱芜区交字〔2024〕26号</w:t>
      </w:r>
    </w:p>
    <w:p w14:paraId="56E4A350">
      <w:pPr>
        <w:keepNext w:val="0"/>
        <w:keepLines w:val="0"/>
        <w:pageBreakBefore w:val="0"/>
        <w:wordWrap/>
        <w:overflowPunct/>
        <w:topLinePunct w:val="0"/>
        <w:bidi w:val="0"/>
        <w:spacing w:line="600" w:lineRule="exact"/>
        <w:jc w:val="center"/>
        <w:rPr>
          <w:rFonts w:hint="eastAsia" w:ascii="方正小标宋简体" w:hAnsi="宋体" w:eastAsia="方正小标宋简体" w:cs="宋体"/>
          <w:bCs/>
          <w:spacing w:val="-6"/>
          <w:sz w:val="44"/>
          <w:szCs w:val="44"/>
        </w:rPr>
      </w:pPr>
    </w:p>
    <w:p w14:paraId="2C461BDF">
      <w:pPr>
        <w:keepNext w:val="0"/>
        <w:keepLines w:val="0"/>
        <w:pageBreakBefore w:val="0"/>
        <w:wordWrap/>
        <w:overflowPunct/>
        <w:topLinePunct w:val="0"/>
        <w:bidi w:val="0"/>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bCs/>
          <w:spacing w:val="-6"/>
          <w:sz w:val="44"/>
          <w:szCs w:val="44"/>
        </w:rPr>
        <w:t>关于印发《</w:t>
      </w:r>
      <w:r>
        <w:rPr>
          <w:rFonts w:hint="eastAsia" w:ascii="方正小标宋简体" w:hAnsi="宋体" w:eastAsia="方正小标宋简体" w:cs="宋体"/>
          <w:bCs/>
          <w:spacing w:val="-6"/>
          <w:sz w:val="44"/>
          <w:szCs w:val="44"/>
          <w:lang w:val="en-US" w:eastAsia="zh-CN"/>
        </w:rPr>
        <w:t>莱芜区</w:t>
      </w:r>
      <w:r>
        <w:rPr>
          <w:rFonts w:hint="eastAsia" w:ascii="方正小标宋简体" w:hAnsi="宋体" w:eastAsia="方正小标宋简体" w:cs="宋体"/>
          <w:bCs/>
          <w:spacing w:val="-6"/>
          <w:sz w:val="44"/>
          <w:szCs w:val="44"/>
        </w:rPr>
        <w:t>交通运输行业“信易</w:t>
      </w:r>
      <w:r>
        <w:rPr>
          <w:rFonts w:ascii="方正小标宋简体" w:hAnsi="宋体" w:eastAsia="方正小标宋简体" w:cs="宋体"/>
          <w:bCs/>
          <w:spacing w:val="-6"/>
          <w:sz w:val="44"/>
          <w:szCs w:val="44"/>
        </w:rPr>
        <w:t>+</w:t>
      </w:r>
      <w:r>
        <w:rPr>
          <w:rFonts w:hint="eastAsia" w:ascii="方正小标宋简体" w:hAnsi="宋体" w:eastAsia="方正小标宋简体" w:cs="宋体"/>
          <w:bCs/>
          <w:spacing w:val="-6"/>
          <w:sz w:val="44"/>
          <w:szCs w:val="44"/>
          <w:lang w:val="en-US" w:eastAsia="zh-CN"/>
        </w:rPr>
        <w:t>公交</w:t>
      </w:r>
      <w:r>
        <w:rPr>
          <w:rFonts w:hint="eastAsia" w:ascii="方正小标宋简体" w:hAnsi="宋体" w:eastAsia="方正小标宋简体" w:cs="宋体"/>
          <w:bCs/>
          <w:spacing w:val="-6"/>
          <w:sz w:val="44"/>
          <w:szCs w:val="44"/>
        </w:rPr>
        <w:t>”工作方案</w:t>
      </w:r>
      <w:r>
        <w:rPr>
          <w:rFonts w:hint="eastAsia" w:ascii="方正小标宋简体" w:hAnsi="宋体" w:eastAsia="方正小标宋简体" w:cs="宋体"/>
          <w:bCs/>
          <w:spacing w:val="21"/>
          <w:sz w:val="44"/>
          <w:szCs w:val="44"/>
        </w:rPr>
        <w:t>》</w:t>
      </w:r>
      <w:r>
        <w:rPr>
          <w:rFonts w:hint="eastAsia" w:ascii="方正小标宋简体" w:hAnsi="宋体" w:eastAsia="方正小标宋简体" w:cs="宋体"/>
          <w:bCs/>
          <w:spacing w:val="-1"/>
          <w:sz w:val="44"/>
          <w:szCs w:val="44"/>
        </w:rPr>
        <w:t>的通知</w:t>
      </w:r>
    </w:p>
    <w:p w14:paraId="7E66C96C">
      <w:pPr>
        <w:keepNext w:val="0"/>
        <w:keepLines w:val="0"/>
        <w:pageBreakBefore w:val="0"/>
        <w:wordWrap/>
        <w:overflowPunct/>
        <w:topLinePunct w:val="0"/>
        <w:bidi w:val="0"/>
        <w:spacing w:line="600" w:lineRule="exact"/>
        <w:rPr>
          <w:rFonts w:ascii="仿宋_GB2312" w:eastAsia="仿宋_GB2312"/>
          <w:sz w:val="32"/>
          <w:szCs w:val="32"/>
        </w:rPr>
      </w:pPr>
      <w:bookmarkStart w:id="0" w:name="_GoBack"/>
      <w:bookmarkEnd w:id="0"/>
    </w:p>
    <w:p w14:paraId="0EB236B5">
      <w:pPr>
        <w:keepNext w:val="0"/>
        <w:keepLines w:val="0"/>
        <w:pageBreakBefore w:val="0"/>
        <w:widowControl w:val="0"/>
        <w:kinsoku/>
        <w:wordWrap/>
        <w:overflowPunct/>
        <w:topLinePunct w:val="0"/>
        <w:autoSpaceDE/>
        <w:autoSpaceDN/>
        <w:bidi w:val="0"/>
        <w:adjustRightInd/>
        <w:snapToGrid/>
        <w:spacing w:before="0" w:line="60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机关各科室、局属各事业单位：</w:t>
      </w:r>
    </w:p>
    <w:p w14:paraId="511A8475">
      <w:pPr>
        <w:keepNext w:val="0"/>
        <w:keepLines w:val="0"/>
        <w:pageBreakBefore w:val="0"/>
        <w:wordWrap/>
        <w:overflowPunct/>
        <w:topLinePunct w:val="0"/>
        <w:bidi w:val="0"/>
        <w:spacing w:line="600" w:lineRule="exact"/>
        <w:ind w:left="89" w:firstLine="639"/>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现将《</w:t>
      </w:r>
      <w:r>
        <w:rPr>
          <w:rFonts w:hint="eastAsia" w:ascii="仿宋_GB2312" w:hAnsi="仿宋_GB2312" w:eastAsia="仿宋_GB2312" w:cs="仿宋_GB2312"/>
          <w:spacing w:val="0"/>
          <w:w w:val="100"/>
          <w:sz w:val="32"/>
          <w:szCs w:val="32"/>
          <w:lang w:val="en-US" w:eastAsia="zh-CN"/>
        </w:rPr>
        <w:t>莱芜区</w:t>
      </w:r>
      <w:r>
        <w:rPr>
          <w:rFonts w:hint="eastAsia" w:ascii="仿宋_GB2312" w:hAnsi="仿宋_GB2312" w:eastAsia="仿宋_GB2312" w:cs="仿宋_GB2312"/>
          <w:spacing w:val="0"/>
          <w:w w:val="100"/>
          <w:sz w:val="32"/>
          <w:szCs w:val="32"/>
        </w:rPr>
        <w:t>交通运输行业“信易+</w:t>
      </w:r>
      <w:r>
        <w:rPr>
          <w:rFonts w:hint="eastAsia" w:ascii="仿宋_GB2312" w:hAnsi="仿宋_GB2312" w:eastAsia="仿宋_GB2312" w:cs="仿宋_GB2312"/>
          <w:spacing w:val="0"/>
          <w:w w:val="100"/>
          <w:sz w:val="32"/>
          <w:szCs w:val="32"/>
          <w:lang w:val="en-US" w:eastAsia="zh-CN"/>
        </w:rPr>
        <w:t>公交</w:t>
      </w:r>
      <w:r>
        <w:rPr>
          <w:rFonts w:hint="eastAsia" w:ascii="仿宋_GB2312" w:hAnsi="仿宋_GB2312" w:eastAsia="仿宋_GB2312" w:cs="仿宋_GB2312"/>
          <w:spacing w:val="0"/>
          <w:w w:val="100"/>
          <w:sz w:val="32"/>
          <w:szCs w:val="32"/>
        </w:rPr>
        <w:t>”工作方案》印发给你们，请结合工作实际，认真抓好贯彻落实。</w:t>
      </w:r>
    </w:p>
    <w:p w14:paraId="4C2DE059">
      <w:pPr>
        <w:keepNext w:val="0"/>
        <w:keepLines w:val="0"/>
        <w:pageBreakBefore w:val="0"/>
        <w:wordWrap/>
        <w:overflowPunct/>
        <w:topLinePunct w:val="0"/>
        <w:bidi w:val="0"/>
        <w:spacing w:line="600" w:lineRule="exact"/>
        <w:rPr>
          <w:rFonts w:hint="eastAsia" w:ascii="仿宋_GB2312" w:hAnsi="仿宋_GB2312" w:eastAsia="仿宋_GB2312" w:cs="仿宋_GB2312"/>
          <w:spacing w:val="0"/>
          <w:w w:val="100"/>
          <w:sz w:val="32"/>
          <w:szCs w:val="32"/>
        </w:rPr>
      </w:pPr>
    </w:p>
    <w:p w14:paraId="7D4DA394">
      <w:pPr>
        <w:keepNext w:val="0"/>
        <w:keepLines w:val="0"/>
        <w:pageBreakBefore w:val="0"/>
        <w:wordWrap/>
        <w:overflowPunct/>
        <w:topLinePunct w:val="0"/>
        <w:bidi w:val="0"/>
        <w:spacing w:line="600" w:lineRule="exact"/>
        <w:rPr>
          <w:rFonts w:hint="eastAsia" w:ascii="仿宋_GB2312" w:hAnsi="仿宋_GB2312" w:eastAsia="仿宋_GB2312" w:cs="仿宋_GB2312"/>
          <w:spacing w:val="0"/>
          <w:w w:val="100"/>
          <w:sz w:val="32"/>
          <w:szCs w:val="32"/>
        </w:rPr>
      </w:pPr>
    </w:p>
    <w:p w14:paraId="5B6324B3">
      <w:pPr>
        <w:keepNext w:val="0"/>
        <w:keepLines w:val="0"/>
        <w:pageBreakBefore w:val="0"/>
        <w:wordWrap/>
        <w:overflowPunct/>
        <w:topLinePunct w:val="0"/>
        <w:bidi w:val="0"/>
        <w:spacing w:line="600" w:lineRule="exact"/>
        <w:jc w:val="right"/>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莱芜区城乡</w:t>
      </w:r>
      <w:r>
        <w:rPr>
          <w:rFonts w:hint="eastAsia" w:ascii="仿宋_GB2312" w:hAnsi="仿宋_GB2312" w:eastAsia="仿宋_GB2312" w:cs="仿宋_GB2312"/>
          <w:spacing w:val="0"/>
          <w:w w:val="100"/>
          <w:sz w:val="32"/>
          <w:szCs w:val="32"/>
        </w:rPr>
        <w:t>交通运输局</w:t>
      </w:r>
    </w:p>
    <w:p w14:paraId="454910A9">
      <w:pPr>
        <w:keepNext w:val="0"/>
        <w:keepLines w:val="0"/>
        <w:pageBreakBefore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202</w:t>
      </w: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6</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20</w:t>
      </w:r>
      <w:r>
        <w:rPr>
          <w:rFonts w:hint="eastAsia" w:ascii="仿宋_GB2312" w:hAnsi="仿宋_GB2312" w:eastAsia="仿宋_GB2312" w:cs="仿宋_GB2312"/>
          <w:spacing w:val="0"/>
          <w:w w:val="100"/>
          <w:sz w:val="32"/>
          <w:szCs w:val="32"/>
        </w:rPr>
        <w:t>日</w:t>
      </w:r>
      <w:r>
        <w:rPr>
          <w:rFonts w:hint="eastAsia" w:ascii="仿宋_GB2312" w:hAnsi="仿宋_GB2312" w:eastAsia="仿宋_GB2312" w:cs="仿宋_GB2312"/>
          <w:spacing w:val="0"/>
          <w:w w:val="100"/>
          <w:sz w:val="32"/>
          <w:szCs w:val="32"/>
          <w:lang w:val="en-US" w:eastAsia="zh-CN"/>
        </w:rPr>
        <w:t xml:space="preserve">  </w:t>
      </w:r>
    </w:p>
    <w:p w14:paraId="0938C2C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w w:val="100"/>
          <w:sz w:val="32"/>
          <w:szCs w:val="32"/>
        </w:rPr>
      </w:pPr>
    </w:p>
    <w:p w14:paraId="329F952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w w:val="100"/>
          <w:sz w:val="32"/>
          <w:szCs w:val="32"/>
        </w:rPr>
      </w:pPr>
    </w:p>
    <w:p w14:paraId="3F69B87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w w:val="100"/>
          <w:sz w:val="32"/>
          <w:szCs w:val="32"/>
        </w:rPr>
      </w:pPr>
    </w:p>
    <w:p w14:paraId="13A7872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w w:val="100"/>
          <w:sz w:val="32"/>
          <w:szCs w:val="32"/>
        </w:rPr>
      </w:pPr>
    </w:p>
    <w:p w14:paraId="6A19B620">
      <w:pPr>
        <w:widowControl w:val="0"/>
        <w:kinsoku/>
        <w:autoSpaceDE/>
        <w:autoSpaceDN/>
        <w:adjustRightInd/>
        <w:snapToGrid/>
        <w:spacing w:line="600" w:lineRule="exact"/>
        <w:jc w:val="center"/>
        <w:textAlignment w:val="auto"/>
        <w:rPr>
          <w:rFonts w:hint="eastAsia" w:ascii="方正小标宋简体" w:hAnsi="方正小标宋简体" w:eastAsia="方正小标宋简体" w:cs="方正小标宋简体"/>
          <w:snapToGrid/>
          <w:color w:val="000000"/>
          <w:kern w:val="0"/>
          <w:sz w:val="44"/>
          <w:szCs w:val="44"/>
          <w:lang w:bidi="ar"/>
        </w:rPr>
      </w:pPr>
      <w:r>
        <w:rPr>
          <w:rFonts w:hint="eastAsia" w:ascii="方正小标宋简体" w:hAnsi="方正小标宋简体" w:eastAsia="方正小标宋简体" w:cs="方正小标宋简体"/>
          <w:snapToGrid/>
          <w:color w:val="000000"/>
          <w:kern w:val="0"/>
          <w:sz w:val="44"/>
          <w:szCs w:val="44"/>
          <w:lang w:val="en-US" w:eastAsia="zh-CN" w:bidi="ar"/>
        </w:rPr>
        <w:t>莱芜区</w:t>
      </w:r>
      <w:r>
        <w:rPr>
          <w:rFonts w:hint="eastAsia" w:ascii="方正小标宋简体" w:hAnsi="方正小标宋简体" w:eastAsia="方正小标宋简体" w:cs="方正小标宋简体"/>
          <w:snapToGrid/>
          <w:color w:val="000000"/>
          <w:kern w:val="0"/>
          <w:sz w:val="44"/>
          <w:szCs w:val="44"/>
          <w:lang w:bidi="ar"/>
        </w:rPr>
        <w:t>交通运输行业“信易+</w:t>
      </w:r>
      <w:r>
        <w:rPr>
          <w:rFonts w:hint="eastAsia" w:ascii="方正小标宋简体" w:hAnsi="方正小标宋简体" w:eastAsia="方正小标宋简体" w:cs="方正小标宋简体"/>
          <w:snapToGrid/>
          <w:color w:val="000000"/>
          <w:kern w:val="0"/>
          <w:sz w:val="44"/>
          <w:szCs w:val="44"/>
          <w:lang w:val="en-US" w:eastAsia="zh-CN" w:bidi="ar"/>
        </w:rPr>
        <w:t>公交</w:t>
      </w:r>
      <w:r>
        <w:rPr>
          <w:rFonts w:hint="eastAsia" w:ascii="方正小标宋简体" w:hAnsi="方正小标宋简体" w:eastAsia="方正小标宋简体" w:cs="方正小标宋简体"/>
          <w:snapToGrid/>
          <w:color w:val="000000"/>
          <w:kern w:val="0"/>
          <w:sz w:val="44"/>
          <w:szCs w:val="44"/>
          <w:lang w:bidi="ar"/>
        </w:rPr>
        <w:t>”工作方案</w:t>
      </w:r>
    </w:p>
    <w:p w14:paraId="2274413C">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p>
    <w:p w14:paraId="00F882C6">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仿宋_GB2312" w:hAnsi="宋体" w:eastAsia="仿宋_GB2312" w:cs="仿宋_GB2312"/>
          <w:snapToGrid/>
          <w:color w:val="000000"/>
          <w:kern w:val="0"/>
          <w:sz w:val="32"/>
          <w:szCs w:val="32"/>
          <w:lang w:bidi="ar"/>
        </w:rPr>
        <w:t>为积极推动“信用交通县”创建工作，探索深化交通运输领域“信易+</w:t>
      </w:r>
      <w:r>
        <w:rPr>
          <w:rFonts w:hint="eastAsia" w:ascii="仿宋_GB2312" w:hAnsi="宋体" w:eastAsia="仿宋_GB2312" w:cs="仿宋_GB2312"/>
          <w:snapToGrid/>
          <w:color w:val="000000"/>
          <w:kern w:val="0"/>
          <w:sz w:val="32"/>
          <w:szCs w:val="32"/>
          <w:lang w:val="en-US" w:eastAsia="zh-CN" w:bidi="ar"/>
        </w:rPr>
        <w:t>公交</w:t>
      </w:r>
      <w:r>
        <w:rPr>
          <w:rFonts w:hint="eastAsia" w:ascii="仿宋_GB2312" w:hAnsi="宋体" w:eastAsia="仿宋_GB2312" w:cs="仿宋_GB2312"/>
          <w:snapToGrid/>
          <w:color w:val="000000"/>
          <w:kern w:val="0"/>
          <w:sz w:val="32"/>
          <w:szCs w:val="32"/>
          <w:lang w:bidi="ar"/>
        </w:rPr>
        <w:t>”的场景应用，加大守信激励机制建设力度，切实提升诚信市民出行体验和获得感，营造知信、重信、用信、守信的良好社会氛围，特制定本方案。</w:t>
      </w:r>
    </w:p>
    <w:p w14:paraId="396289C4">
      <w:pPr>
        <w:widowControl w:val="0"/>
        <w:kinsoku/>
        <w:autoSpaceDE/>
        <w:autoSpaceDN/>
        <w:adjustRightInd/>
        <w:snapToGrid/>
        <w:spacing w:line="600" w:lineRule="exact"/>
        <w:ind w:firstLine="624" w:firstLineChars="200"/>
        <w:jc w:val="both"/>
        <w:textAlignment w:val="auto"/>
        <w:rPr>
          <w:rFonts w:ascii="黑体" w:hAnsi="黑体" w:eastAsia="黑体" w:cs="黑体"/>
          <w:snapToGrid/>
          <w:spacing w:val="-4"/>
          <w:kern w:val="2"/>
          <w:sz w:val="32"/>
          <w:szCs w:val="32"/>
        </w:rPr>
      </w:pPr>
      <w:r>
        <w:rPr>
          <w:rFonts w:hint="eastAsia" w:ascii="黑体" w:hAnsi="黑体" w:eastAsia="黑体" w:cs="黑体"/>
          <w:snapToGrid/>
          <w:spacing w:val="-4"/>
          <w:kern w:val="2"/>
          <w:sz w:val="32"/>
          <w:szCs w:val="32"/>
        </w:rPr>
        <w:t>一、指导思想</w:t>
      </w:r>
    </w:p>
    <w:p w14:paraId="71D2A9E4">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仿宋_GB2312" w:hAnsi="宋体" w:eastAsia="仿宋_GB2312" w:cs="仿宋_GB2312"/>
          <w:snapToGrid/>
          <w:color w:val="000000"/>
          <w:kern w:val="0"/>
          <w:sz w:val="32"/>
          <w:szCs w:val="32"/>
          <w:lang w:bidi="ar"/>
        </w:rPr>
        <w:t>深入贯彻落实国家、省、市关于信用体系建设和信用交通示范创建的总体要求和相关工作部署，立足提升我</w:t>
      </w:r>
      <w:r>
        <w:rPr>
          <w:rFonts w:hint="eastAsia" w:ascii="仿宋_GB2312" w:hAnsi="宋体" w:eastAsia="仿宋_GB2312" w:cs="仿宋_GB2312"/>
          <w:snapToGrid/>
          <w:color w:val="000000"/>
          <w:kern w:val="0"/>
          <w:sz w:val="32"/>
          <w:szCs w:val="32"/>
          <w:lang w:val="en-US" w:eastAsia="zh-CN" w:bidi="ar"/>
        </w:rPr>
        <w:t>区</w:t>
      </w:r>
      <w:r>
        <w:rPr>
          <w:rFonts w:hint="eastAsia" w:ascii="仿宋_GB2312" w:hAnsi="宋体" w:eastAsia="仿宋_GB2312" w:cs="仿宋_GB2312"/>
          <w:snapToGrid/>
          <w:color w:val="000000"/>
          <w:kern w:val="0"/>
          <w:sz w:val="32"/>
          <w:szCs w:val="32"/>
          <w:lang w:bidi="ar"/>
        </w:rPr>
        <w:t>社会信用体系建设水平，以信用惠民为抓手，扩大信用应用场景，为诚实守信提供更为便捷的服务，增强群众的诚信意识，引导全社会形成“人人诚信，处处守信”的良好氛围</w:t>
      </w:r>
      <w:r>
        <w:rPr>
          <w:rFonts w:hint="eastAsia" w:ascii="仿宋_GB2312" w:hAnsi="宋体" w:eastAsia="仿宋_GB2312" w:cs="仿宋_GB2312"/>
          <w:snapToGrid/>
          <w:color w:val="000000"/>
          <w:kern w:val="0"/>
          <w:sz w:val="32"/>
          <w:szCs w:val="32"/>
          <w:lang w:eastAsia="zh-CN" w:bidi="ar"/>
        </w:rPr>
        <w:t>，</w:t>
      </w:r>
      <w:r>
        <w:rPr>
          <w:rFonts w:hint="eastAsia" w:ascii="仿宋_GB2312" w:hAnsi="宋体" w:eastAsia="仿宋_GB2312" w:cs="仿宋_GB2312"/>
          <w:snapToGrid/>
          <w:color w:val="000000"/>
          <w:kern w:val="0"/>
          <w:sz w:val="32"/>
          <w:szCs w:val="32"/>
          <w:lang w:val="en-US" w:eastAsia="zh-CN" w:bidi="ar"/>
        </w:rPr>
        <w:t>助力交通强国山东示范区建设</w:t>
      </w:r>
      <w:r>
        <w:rPr>
          <w:rFonts w:hint="eastAsia" w:ascii="仿宋_GB2312" w:hAnsi="宋体" w:eastAsia="仿宋_GB2312" w:cs="仿宋_GB2312"/>
          <w:snapToGrid/>
          <w:color w:val="000000"/>
          <w:kern w:val="0"/>
          <w:sz w:val="32"/>
          <w:szCs w:val="32"/>
          <w:lang w:bidi="ar"/>
        </w:rPr>
        <w:t>。</w:t>
      </w:r>
    </w:p>
    <w:p w14:paraId="2A09567A">
      <w:pPr>
        <w:widowControl w:val="0"/>
        <w:kinsoku/>
        <w:autoSpaceDE/>
        <w:autoSpaceDN/>
        <w:adjustRightInd/>
        <w:snapToGrid/>
        <w:spacing w:line="600" w:lineRule="exact"/>
        <w:ind w:firstLine="624" w:firstLineChars="200"/>
        <w:jc w:val="both"/>
        <w:textAlignment w:val="auto"/>
        <w:rPr>
          <w:rFonts w:ascii="黑体" w:hAnsi="黑体" w:eastAsia="黑体" w:cs="黑体"/>
          <w:snapToGrid/>
          <w:spacing w:val="-4"/>
          <w:kern w:val="2"/>
          <w:sz w:val="32"/>
          <w:szCs w:val="32"/>
        </w:rPr>
      </w:pPr>
      <w:r>
        <w:rPr>
          <w:rFonts w:hint="eastAsia" w:ascii="黑体" w:hAnsi="黑体" w:eastAsia="黑体" w:cs="黑体"/>
          <w:snapToGrid/>
          <w:spacing w:val="-4"/>
          <w:kern w:val="2"/>
          <w:sz w:val="32"/>
          <w:szCs w:val="32"/>
        </w:rPr>
        <w:t>二、工作目标</w:t>
      </w:r>
    </w:p>
    <w:p w14:paraId="717E8D10">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仿宋_GB2312" w:hAnsi="宋体" w:eastAsia="仿宋_GB2312" w:cs="仿宋_GB2312"/>
          <w:snapToGrid/>
          <w:color w:val="000000"/>
          <w:kern w:val="0"/>
          <w:sz w:val="32"/>
          <w:szCs w:val="32"/>
          <w:lang w:bidi="ar"/>
        </w:rPr>
        <w:t>通过“信易</w:t>
      </w:r>
      <w:r>
        <w:rPr>
          <w:rFonts w:hint="eastAsia" w:ascii="仿宋_GB2312" w:hAnsi="宋体" w:eastAsia="仿宋_GB2312" w:cs="仿宋_GB2312"/>
          <w:snapToGrid/>
          <w:color w:val="000000"/>
          <w:kern w:val="0"/>
          <w:sz w:val="32"/>
          <w:szCs w:val="32"/>
          <w:lang w:val="en-US" w:eastAsia="zh-CN" w:bidi="ar"/>
        </w:rPr>
        <w:t>+公交</w:t>
      </w:r>
      <w:r>
        <w:rPr>
          <w:rFonts w:hint="eastAsia" w:ascii="仿宋_GB2312" w:hAnsi="宋体" w:eastAsia="仿宋_GB2312" w:cs="仿宋_GB2312"/>
          <w:snapToGrid/>
          <w:color w:val="000000"/>
          <w:kern w:val="0"/>
          <w:sz w:val="32"/>
          <w:szCs w:val="32"/>
          <w:lang w:bidi="ar"/>
        </w:rPr>
        <w:t>”守信激励场景的应用，向符合支持条件的诚信主体提供优质高效且更为便捷的出行服务体验和更全面的出行优惠措施，让更多的诚信主体享受到信用交通红利，切实增强群众的守信获得感，积极营造“守信受益、信用有价”的公共交通出行环境，让无形的信用变成有形的价值，提升全社会文明程度，加快推进我</w:t>
      </w:r>
      <w:r>
        <w:rPr>
          <w:rFonts w:hint="eastAsia" w:ascii="仿宋_GB2312" w:hAnsi="宋体" w:eastAsia="仿宋_GB2312" w:cs="仿宋_GB2312"/>
          <w:snapToGrid/>
          <w:color w:val="000000"/>
          <w:kern w:val="0"/>
          <w:sz w:val="32"/>
          <w:szCs w:val="32"/>
          <w:lang w:val="en-US" w:eastAsia="zh-CN" w:bidi="ar"/>
        </w:rPr>
        <w:t>区</w:t>
      </w:r>
      <w:r>
        <w:rPr>
          <w:rFonts w:hint="eastAsia" w:ascii="仿宋_GB2312" w:hAnsi="宋体" w:eastAsia="仿宋_GB2312" w:cs="仿宋_GB2312"/>
          <w:snapToGrid/>
          <w:color w:val="000000"/>
          <w:kern w:val="0"/>
          <w:sz w:val="32"/>
          <w:szCs w:val="32"/>
          <w:lang w:bidi="ar"/>
        </w:rPr>
        <w:t>信用体系建设，助力交通运输行业健康有序发展，提升运输服务品牌形象。</w:t>
      </w:r>
    </w:p>
    <w:p w14:paraId="3AAD5154">
      <w:pPr>
        <w:widowControl w:val="0"/>
        <w:kinsoku/>
        <w:autoSpaceDE/>
        <w:autoSpaceDN/>
        <w:adjustRightInd/>
        <w:snapToGrid/>
        <w:spacing w:line="600" w:lineRule="exact"/>
        <w:ind w:firstLine="624" w:firstLineChars="200"/>
        <w:jc w:val="both"/>
        <w:textAlignment w:val="auto"/>
        <w:rPr>
          <w:rFonts w:ascii="黑体" w:hAnsi="黑体" w:eastAsia="黑体" w:cs="黑体"/>
          <w:snapToGrid/>
          <w:spacing w:val="-4"/>
          <w:kern w:val="2"/>
          <w:sz w:val="32"/>
          <w:szCs w:val="32"/>
        </w:rPr>
      </w:pPr>
      <w:r>
        <w:rPr>
          <w:rFonts w:hint="eastAsia" w:ascii="黑体" w:hAnsi="黑体" w:eastAsia="黑体" w:cs="黑体"/>
          <w:snapToGrid/>
          <w:spacing w:val="-4"/>
          <w:kern w:val="2"/>
          <w:sz w:val="32"/>
          <w:szCs w:val="32"/>
        </w:rPr>
        <w:t>三、“信易</w:t>
      </w:r>
      <w:r>
        <w:rPr>
          <w:rFonts w:hint="eastAsia" w:ascii="黑体" w:hAnsi="黑体" w:eastAsia="黑体" w:cs="黑体"/>
          <w:snapToGrid/>
          <w:spacing w:val="-4"/>
          <w:kern w:val="2"/>
          <w:sz w:val="32"/>
          <w:szCs w:val="32"/>
          <w:lang w:val="en-US" w:eastAsia="zh-CN"/>
        </w:rPr>
        <w:t>+公交</w:t>
      </w:r>
      <w:r>
        <w:rPr>
          <w:rFonts w:hint="eastAsia" w:ascii="黑体" w:hAnsi="黑体" w:eastAsia="黑体" w:cs="黑体"/>
          <w:snapToGrid/>
          <w:spacing w:val="-4"/>
          <w:kern w:val="2"/>
          <w:sz w:val="32"/>
          <w:szCs w:val="32"/>
        </w:rPr>
        <w:t>”激励对象</w:t>
      </w:r>
    </w:p>
    <w:p w14:paraId="3EFCB220">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仿宋_GB2312" w:hAnsi="宋体" w:eastAsia="仿宋_GB2312" w:cs="仿宋_GB2312"/>
          <w:snapToGrid/>
          <w:color w:val="000000"/>
          <w:kern w:val="0"/>
          <w:sz w:val="32"/>
          <w:szCs w:val="32"/>
          <w:lang w:bidi="ar"/>
        </w:rPr>
        <w:t>1.拥护中国共产党领导，积极践行社会主义核心价值观，守诺重信，近三年内没有重大失信记录。获评国家、省、市或</w:t>
      </w:r>
      <w:r>
        <w:rPr>
          <w:rFonts w:hint="eastAsia" w:ascii="仿宋_GB2312" w:hAnsi="宋体" w:eastAsia="仿宋_GB2312" w:cs="仿宋_GB2312"/>
          <w:snapToGrid/>
          <w:color w:val="000000"/>
          <w:kern w:val="0"/>
          <w:sz w:val="32"/>
          <w:szCs w:val="32"/>
          <w:lang w:val="en-US" w:eastAsia="zh-CN" w:bidi="ar"/>
        </w:rPr>
        <w:t>区级</w:t>
      </w:r>
      <w:r>
        <w:rPr>
          <w:rFonts w:hint="eastAsia" w:ascii="仿宋_GB2312" w:hAnsi="宋体" w:eastAsia="仿宋_GB2312" w:cs="仿宋_GB2312"/>
          <w:snapToGrid/>
          <w:color w:val="000000"/>
          <w:kern w:val="0"/>
          <w:sz w:val="32"/>
          <w:szCs w:val="32"/>
          <w:lang w:bidi="ar"/>
        </w:rPr>
        <w:t>荣誉的</w:t>
      </w:r>
      <w:r>
        <w:rPr>
          <w:rFonts w:hint="eastAsia" w:ascii="仿宋_GB2312" w:hAnsi="宋体" w:eastAsia="仿宋_GB2312" w:cs="仿宋_GB2312"/>
          <w:snapToGrid/>
          <w:color w:val="000000"/>
          <w:kern w:val="0"/>
          <w:sz w:val="32"/>
          <w:szCs w:val="32"/>
          <w:lang w:val="en-US" w:eastAsia="zh-CN" w:bidi="ar"/>
        </w:rPr>
        <w:t>莱芜</w:t>
      </w:r>
      <w:r>
        <w:rPr>
          <w:rFonts w:hint="eastAsia" w:ascii="仿宋_GB2312" w:hAnsi="宋体" w:eastAsia="仿宋_GB2312" w:cs="仿宋_GB2312"/>
          <w:snapToGrid/>
          <w:color w:val="000000"/>
          <w:kern w:val="0"/>
          <w:sz w:val="32"/>
          <w:szCs w:val="32"/>
          <w:lang w:bidi="ar"/>
        </w:rPr>
        <w:t>市民，如道德模范、劳动模范、五一奖章、五四奖章、荣立军功、人民满意的公务员、“抗疫先锋”医护人员、优秀青年志愿者、优秀共青团干部、三八红旗手等；特定行为人，如拾金不昧、见义勇为、慈善捐助者、造血干细胞捐献者等。</w:t>
      </w:r>
    </w:p>
    <w:p w14:paraId="51A92AFB">
      <w:pPr>
        <w:widowControl w:val="0"/>
        <w:kinsoku/>
        <w:autoSpaceDE/>
        <w:autoSpaceDN/>
        <w:adjustRightInd/>
        <w:snapToGrid/>
        <w:spacing w:line="600" w:lineRule="exact"/>
        <w:ind w:firstLine="640" w:firstLineChars="200"/>
        <w:jc w:val="both"/>
        <w:textAlignment w:val="auto"/>
        <w:rPr>
          <w:rFonts w:hint="eastAsia" w:ascii="仿宋_GB2312" w:hAnsi="宋体" w:eastAsia="仿宋_GB2312" w:cs="仿宋_GB2312"/>
          <w:snapToGrid/>
          <w:color w:val="000000"/>
          <w:kern w:val="0"/>
          <w:sz w:val="32"/>
          <w:szCs w:val="32"/>
          <w:lang w:bidi="ar"/>
        </w:rPr>
      </w:pPr>
      <w:r>
        <w:rPr>
          <w:rFonts w:hint="eastAsia" w:ascii="仿宋_GB2312" w:hAnsi="宋体" w:eastAsia="仿宋_GB2312" w:cs="仿宋_GB2312"/>
          <w:snapToGrid/>
          <w:color w:val="000000"/>
          <w:kern w:val="0"/>
          <w:sz w:val="32"/>
          <w:szCs w:val="32"/>
          <w:lang w:bidi="ar"/>
        </w:rPr>
        <w:t>2.现、退役军人，</w:t>
      </w:r>
      <w:r>
        <w:rPr>
          <w:rFonts w:hint="eastAsia" w:ascii="仿宋_GB2312" w:hAnsi="宋体" w:eastAsia="仿宋_GB2312" w:cs="仿宋_GB2312"/>
          <w:snapToGrid/>
          <w:color w:val="000000"/>
          <w:kern w:val="0"/>
          <w:sz w:val="32"/>
          <w:szCs w:val="32"/>
          <w:lang w:eastAsia="zh-CN" w:bidi="ar"/>
        </w:rPr>
        <w:t>革命伤残军人，</w:t>
      </w:r>
      <w:r>
        <w:rPr>
          <w:rFonts w:hint="eastAsia" w:ascii="仿宋_GB2312" w:hAnsi="宋体" w:eastAsia="仿宋_GB2312" w:cs="仿宋_GB2312"/>
          <w:snapToGrid/>
          <w:color w:val="000000"/>
          <w:kern w:val="0"/>
          <w:sz w:val="32"/>
          <w:szCs w:val="32"/>
          <w:lang w:val="en-US" w:eastAsia="zh-CN" w:bidi="ar"/>
        </w:rPr>
        <w:t>残疾人，</w:t>
      </w:r>
      <w:r>
        <w:rPr>
          <w:rFonts w:hint="eastAsia" w:ascii="仿宋_GB2312" w:hAnsi="宋体" w:eastAsia="仿宋_GB2312" w:cs="仿宋_GB2312"/>
          <w:snapToGrid/>
          <w:color w:val="000000"/>
          <w:kern w:val="0"/>
          <w:sz w:val="32"/>
          <w:szCs w:val="32"/>
          <w:lang w:bidi="ar"/>
        </w:rPr>
        <w:t>教师类</w:t>
      </w:r>
      <w:r>
        <w:rPr>
          <w:rFonts w:hint="eastAsia" w:ascii="仿宋_GB2312" w:hAnsi="宋体" w:eastAsia="仿宋_GB2312" w:cs="仿宋_GB2312"/>
          <w:snapToGrid/>
          <w:color w:val="000000"/>
          <w:kern w:val="0"/>
          <w:sz w:val="32"/>
          <w:szCs w:val="32"/>
          <w:lang w:eastAsia="zh-CN" w:bidi="ar"/>
        </w:rPr>
        <w:t>，</w:t>
      </w:r>
      <w:r>
        <w:rPr>
          <w:rFonts w:hint="eastAsia" w:ascii="仿宋_GB2312" w:hAnsi="仿宋_GB2312" w:eastAsia="仿宋_GB2312" w:cs="仿宋_GB2312"/>
          <w:b w:val="0"/>
          <w:bCs w:val="0"/>
          <w:sz w:val="32"/>
          <w:szCs w:val="32"/>
          <w:lang w:eastAsia="zh-CN"/>
        </w:rPr>
        <w:t>60岁以上老年人</w:t>
      </w:r>
      <w:r>
        <w:rPr>
          <w:rFonts w:hint="eastAsia" w:ascii="仿宋_GB2312" w:hAnsi="宋体" w:eastAsia="仿宋_GB2312" w:cs="仿宋_GB2312"/>
          <w:snapToGrid/>
          <w:color w:val="000000"/>
          <w:kern w:val="0"/>
          <w:sz w:val="32"/>
          <w:szCs w:val="32"/>
          <w:lang w:bidi="ar"/>
        </w:rPr>
        <w:t>等特殊群体。</w:t>
      </w:r>
    </w:p>
    <w:p w14:paraId="4D474237">
      <w:pPr>
        <w:widowControl w:val="0"/>
        <w:kinsoku/>
        <w:autoSpaceDE/>
        <w:autoSpaceDN/>
        <w:adjustRightInd/>
        <w:snapToGrid/>
        <w:spacing w:line="600" w:lineRule="exact"/>
        <w:ind w:firstLine="640" w:firstLineChars="200"/>
        <w:jc w:val="both"/>
        <w:textAlignment w:val="auto"/>
        <w:rPr>
          <w:rFonts w:hint="default" w:ascii="仿宋_GB2312" w:hAnsi="宋体" w:eastAsia="仿宋_GB2312" w:cs="仿宋_GB2312"/>
          <w:snapToGrid/>
          <w:color w:val="000000"/>
          <w:kern w:val="0"/>
          <w:sz w:val="32"/>
          <w:szCs w:val="32"/>
          <w:lang w:val="en-US" w:eastAsia="zh-CN" w:bidi="ar"/>
        </w:rPr>
      </w:pPr>
      <w:r>
        <w:rPr>
          <w:rFonts w:hint="eastAsia" w:ascii="仿宋_GB2312" w:hAnsi="宋体" w:eastAsia="仿宋_GB2312" w:cs="仿宋_GB2312"/>
          <w:snapToGrid/>
          <w:color w:val="000000"/>
          <w:kern w:val="0"/>
          <w:sz w:val="32"/>
          <w:szCs w:val="32"/>
          <w:lang w:val="en-US" w:eastAsia="zh-CN" w:bidi="ar"/>
        </w:rPr>
        <w:t>3.经市委人才办认定的 E类及以上人才和在济南行政区域内就业的全日制本科及以上学历应届高校毕业。</w:t>
      </w:r>
    </w:p>
    <w:p w14:paraId="3BD9B84E">
      <w:pPr>
        <w:widowControl w:val="0"/>
        <w:kinsoku/>
        <w:autoSpaceDE/>
        <w:autoSpaceDN/>
        <w:adjustRightInd/>
        <w:snapToGrid/>
        <w:spacing w:line="600" w:lineRule="exact"/>
        <w:ind w:firstLine="624" w:firstLineChars="200"/>
        <w:jc w:val="both"/>
        <w:textAlignment w:val="auto"/>
        <w:rPr>
          <w:rFonts w:ascii="黑体" w:hAnsi="黑体" w:eastAsia="黑体" w:cs="黑体"/>
          <w:snapToGrid/>
          <w:spacing w:val="-4"/>
          <w:kern w:val="2"/>
          <w:sz w:val="32"/>
          <w:szCs w:val="32"/>
        </w:rPr>
      </w:pPr>
      <w:r>
        <w:rPr>
          <w:rFonts w:hint="eastAsia" w:ascii="黑体" w:hAnsi="黑体" w:eastAsia="黑体" w:cs="黑体"/>
          <w:snapToGrid/>
          <w:spacing w:val="-4"/>
          <w:kern w:val="2"/>
          <w:sz w:val="32"/>
          <w:szCs w:val="32"/>
        </w:rPr>
        <w:t>四、具体激励措施</w:t>
      </w:r>
    </w:p>
    <w:p w14:paraId="062E401F">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仿宋_GB2312" w:hAnsi="宋体" w:eastAsia="仿宋_GB2312" w:cs="仿宋_GB2312"/>
          <w:snapToGrid/>
          <w:color w:val="000000"/>
          <w:kern w:val="0"/>
          <w:sz w:val="32"/>
          <w:szCs w:val="32"/>
          <w:lang w:bidi="ar"/>
        </w:rPr>
        <w:t>1.客运场站开通“绿色通道”，设置专门售票窗口和快速通道，信用优良个人可享受客运站乘车享受优先购票、安检免排队等服务</w:t>
      </w:r>
      <w:r>
        <w:rPr>
          <w:rFonts w:hint="eastAsia" w:ascii="仿宋_GB2312" w:hAnsi="宋体" w:eastAsia="仿宋_GB2312" w:cs="仿宋_GB2312"/>
          <w:snapToGrid/>
          <w:color w:val="000000"/>
          <w:kern w:val="0"/>
          <w:sz w:val="32"/>
          <w:szCs w:val="32"/>
          <w:lang w:eastAsia="zh-CN" w:bidi="ar"/>
        </w:rPr>
        <w:t>；</w:t>
      </w:r>
      <w:r>
        <w:rPr>
          <w:rFonts w:hint="eastAsia" w:ascii="仿宋_GB2312" w:hAnsi="宋体" w:eastAsia="仿宋_GB2312" w:cs="仿宋_GB2312"/>
          <w:snapToGrid/>
          <w:color w:val="000000"/>
          <w:kern w:val="0"/>
          <w:sz w:val="32"/>
          <w:szCs w:val="32"/>
          <w:lang w:bidi="ar"/>
        </w:rPr>
        <w:t>包车享受折扣优惠。</w:t>
      </w:r>
    </w:p>
    <w:p w14:paraId="1A16B570">
      <w:pPr>
        <w:widowControl w:val="0"/>
        <w:kinsoku/>
        <w:autoSpaceDE/>
        <w:autoSpaceDN/>
        <w:adjustRightInd/>
        <w:snapToGrid/>
        <w:spacing w:line="600" w:lineRule="exact"/>
        <w:ind w:firstLine="640" w:firstLineChars="200"/>
        <w:jc w:val="both"/>
        <w:textAlignment w:val="auto"/>
        <w:rPr>
          <w:rFonts w:hint="eastAsia" w:ascii="仿宋_GB2312" w:hAnsi="宋体" w:eastAsia="仿宋_GB2312" w:cs="仿宋_GB2312"/>
          <w:snapToGrid/>
          <w:color w:val="000000"/>
          <w:kern w:val="0"/>
          <w:sz w:val="32"/>
          <w:szCs w:val="32"/>
          <w:lang w:bidi="ar"/>
        </w:rPr>
      </w:pPr>
      <w:r>
        <w:rPr>
          <w:rFonts w:hint="eastAsia" w:ascii="仿宋_GB2312" w:hAnsi="宋体" w:eastAsia="仿宋_GB2312" w:cs="仿宋_GB2312"/>
          <w:snapToGrid/>
          <w:color w:val="000000"/>
          <w:kern w:val="0"/>
          <w:sz w:val="32"/>
          <w:szCs w:val="32"/>
          <w:lang w:bidi="ar"/>
        </w:rPr>
        <w:t>2.</w:t>
      </w:r>
      <w:r>
        <w:rPr>
          <w:rFonts w:hint="eastAsia" w:ascii="仿宋_GB2312" w:hAnsi="宋体" w:eastAsia="仿宋_GB2312" w:cs="仿宋_GB2312"/>
          <w:snapToGrid/>
          <w:color w:val="000000"/>
          <w:kern w:val="0"/>
          <w:sz w:val="32"/>
          <w:szCs w:val="32"/>
          <w:lang w:eastAsia="zh-CN" w:bidi="ar"/>
        </w:rPr>
        <w:t>信用优良个人的子女就读初高中教育阶段的，享受放假当天“校园免费摆渡车”。</w:t>
      </w:r>
      <w:r>
        <w:rPr>
          <w:rFonts w:hint="eastAsia" w:ascii="仿宋_GB2312" w:hAnsi="仿宋_GB2312" w:eastAsia="仿宋_GB2312" w:cs="仿宋_GB2312"/>
          <w:sz w:val="32"/>
          <w:szCs w:val="32"/>
          <w:lang w:val="en-US" w:eastAsia="zh-CN"/>
        </w:rPr>
        <w:t>如达到二十人及以上可以为其开通区间车（区内各学校至莱芜长途汽车站）</w:t>
      </w:r>
      <w:r>
        <w:rPr>
          <w:rFonts w:hint="eastAsia" w:ascii="仿宋_GB2312" w:hAnsi="宋体" w:eastAsia="仿宋_GB2312" w:cs="仿宋_GB2312"/>
          <w:snapToGrid/>
          <w:color w:val="000000"/>
          <w:kern w:val="0"/>
          <w:sz w:val="32"/>
          <w:szCs w:val="32"/>
          <w:lang w:eastAsia="zh-CN" w:bidi="ar"/>
        </w:rPr>
        <w:t>服务；享受每年6月份开展的中高考爱心助考——应急免费乘车服务</w:t>
      </w:r>
      <w:r>
        <w:rPr>
          <w:rFonts w:hint="eastAsia" w:ascii="仿宋_GB2312" w:hAnsi="宋体" w:eastAsia="仿宋_GB2312" w:cs="仿宋_GB2312"/>
          <w:snapToGrid/>
          <w:color w:val="000000"/>
          <w:kern w:val="0"/>
          <w:sz w:val="32"/>
          <w:szCs w:val="32"/>
          <w:lang w:bidi="ar"/>
        </w:rPr>
        <w:t>。</w:t>
      </w:r>
    </w:p>
    <w:p w14:paraId="35A2B9EB">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仿宋_GB2312" w:hAnsi="宋体" w:eastAsia="仿宋_GB2312" w:cs="仿宋_GB2312"/>
          <w:snapToGrid/>
          <w:color w:val="000000"/>
          <w:kern w:val="0"/>
          <w:sz w:val="32"/>
          <w:szCs w:val="32"/>
          <w:lang w:bidi="ar"/>
        </w:rPr>
        <w:t>3.面向教师特殊群体，每年开展为期一个月的“出行惠师恩”优惠乘车月活动。</w:t>
      </w:r>
    </w:p>
    <w:p w14:paraId="0280F412">
      <w:pPr>
        <w:widowControl w:val="0"/>
        <w:kinsoku/>
        <w:autoSpaceDE/>
        <w:autoSpaceDN/>
        <w:adjustRightInd/>
        <w:snapToGrid/>
        <w:spacing w:line="600" w:lineRule="exact"/>
        <w:ind w:firstLine="640" w:firstLineChars="200"/>
        <w:jc w:val="both"/>
        <w:textAlignment w:val="auto"/>
        <w:rPr>
          <w:rFonts w:hint="eastAsia" w:ascii="仿宋_GB2312" w:hAnsi="宋体" w:eastAsia="仿宋_GB2312" w:cs="仿宋_GB2312"/>
          <w:snapToGrid/>
          <w:color w:val="000000"/>
          <w:kern w:val="0"/>
          <w:sz w:val="32"/>
          <w:szCs w:val="32"/>
          <w:lang w:bidi="ar"/>
        </w:rPr>
      </w:pPr>
      <w:r>
        <w:rPr>
          <w:rFonts w:hint="eastAsia" w:ascii="仿宋_GB2312" w:hAnsi="宋体" w:eastAsia="仿宋_GB2312" w:cs="仿宋_GB2312"/>
          <w:snapToGrid/>
          <w:color w:val="000000"/>
          <w:kern w:val="0"/>
          <w:sz w:val="32"/>
          <w:szCs w:val="32"/>
          <w:lang w:val="en-US" w:eastAsia="zh-CN" w:bidi="ar"/>
        </w:rPr>
        <w:t>4</w:t>
      </w:r>
      <w:r>
        <w:rPr>
          <w:rFonts w:hint="eastAsia" w:ascii="仿宋_GB2312" w:hAnsi="宋体" w:eastAsia="仿宋_GB2312" w:cs="仿宋_GB2312"/>
          <w:snapToGrid/>
          <w:color w:val="000000"/>
          <w:kern w:val="0"/>
          <w:sz w:val="32"/>
          <w:szCs w:val="32"/>
          <w:lang w:bidi="ar"/>
        </w:rPr>
        <w:t>.信用优良个人属60周岁（含）以上老年人群体的，享受上门办理乘车卡服务。</w:t>
      </w:r>
    </w:p>
    <w:p w14:paraId="4EAC59FF">
      <w:pPr>
        <w:widowControl w:val="0"/>
        <w:kinsoku/>
        <w:autoSpaceDE/>
        <w:autoSpaceDN/>
        <w:adjustRightInd/>
        <w:snapToGrid/>
        <w:spacing w:line="600" w:lineRule="exact"/>
        <w:ind w:firstLine="640" w:firstLineChars="200"/>
        <w:jc w:val="both"/>
        <w:textAlignment w:val="auto"/>
        <w:rPr>
          <w:rFonts w:hint="default" w:ascii="仿宋_GB2312" w:hAnsi="宋体" w:eastAsia="仿宋_GB2312" w:cs="仿宋_GB2312"/>
          <w:snapToGrid/>
          <w:color w:val="000000"/>
          <w:kern w:val="0"/>
          <w:sz w:val="32"/>
          <w:szCs w:val="32"/>
          <w:lang w:val="en-US" w:eastAsia="zh-CN" w:bidi="ar"/>
        </w:rPr>
      </w:pPr>
      <w:r>
        <w:rPr>
          <w:rFonts w:hint="eastAsia" w:ascii="仿宋_GB2312" w:hAnsi="宋体" w:eastAsia="仿宋_GB2312" w:cs="仿宋_GB2312"/>
          <w:snapToGrid/>
          <w:color w:val="000000"/>
          <w:kern w:val="0"/>
          <w:sz w:val="32"/>
          <w:szCs w:val="32"/>
          <w:lang w:val="en-US" w:eastAsia="zh-CN" w:bidi="ar"/>
        </w:rPr>
        <w:t>5.经市委人才办认定的 E类及以上人才和在济南行政区域内就业的全日制本科及以上学历应届高校毕业，可申请办理 “泉城人才交通卡”免费乘车。</w:t>
      </w:r>
    </w:p>
    <w:p w14:paraId="1D0D36A4">
      <w:pPr>
        <w:widowControl w:val="0"/>
        <w:kinsoku/>
        <w:autoSpaceDE/>
        <w:autoSpaceDN/>
        <w:adjustRightInd/>
        <w:snapToGrid/>
        <w:spacing w:line="600" w:lineRule="exact"/>
        <w:ind w:firstLine="640" w:firstLineChars="200"/>
        <w:jc w:val="both"/>
        <w:textAlignment w:val="auto"/>
        <w:rPr>
          <w:rFonts w:hint="default" w:ascii="仿宋_GB2312" w:hAnsi="宋体" w:eastAsia="仿宋_GB2312" w:cs="仿宋_GB2312"/>
          <w:snapToGrid/>
          <w:color w:val="000000"/>
          <w:kern w:val="0"/>
          <w:sz w:val="32"/>
          <w:szCs w:val="32"/>
          <w:lang w:val="en-US" w:eastAsia="zh-CN" w:bidi="ar"/>
        </w:rPr>
      </w:pPr>
      <w:r>
        <w:rPr>
          <w:rFonts w:hint="eastAsia" w:ascii="仿宋_GB2312" w:hAnsi="宋体" w:eastAsia="仿宋_GB2312" w:cs="仿宋_GB2312"/>
          <w:snapToGrid/>
          <w:color w:val="000000"/>
          <w:kern w:val="0"/>
          <w:sz w:val="32"/>
          <w:szCs w:val="32"/>
          <w:lang w:val="en-US" w:eastAsia="zh-CN" w:bidi="ar"/>
        </w:rPr>
        <w:t>6.按照济南公交设立“公交榜样”奖励基金政策，颁发“公交榜样”奖励基金，“董事长专项奖”，激发职工“存善念”“发善言”“做善事”的积极性和主动性。</w:t>
      </w:r>
    </w:p>
    <w:p w14:paraId="706FC8CE">
      <w:pPr>
        <w:widowControl w:val="0"/>
        <w:kinsoku/>
        <w:autoSpaceDE/>
        <w:autoSpaceDN/>
        <w:adjustRightInd/>
        <w:snapToGrid/>
        <w:spacing w:line="600" w:lineRule="exact"/>
        <w:ind w:firstLine="624" w:firstLineChars="200"/>
        <w:jc w:val="both"/>
        <w:textAlignment w:val="auto"/>
        <w:rPr>
          <w:rFonts w:ascii="黑体" w:hAnsi="黑体" w:eastAsia="黑体" w:cs="黑体"/>
          <w:snapToGrid/>
          <w:spacing w:val="-4"/>
          <w:kern w:val="2"/>
          <w:sz w:val="32"/>
          <w:szCs w:val="32"/>
        </w:rPr>
      </w:pPr>
      <w:r>
        <w:rPr>
          <w:rFonts w:hint="eastAsia" w:ascii="黑体" w:hAnsi="黑体" w:eastAsia="黑体" w:cs="黑体"/>
          <w:snapToGrid/>
          <w:spacing w:val="-4"/>
          <w:kern w:val="2"/>
          <w:sz w:val="32"/>
          <w:szCs w:val="32"/>
        </w:rPr>
        <w:t>五、使用优惠须知</w:t>
      </w:r>
    </w:p>
    <w:p w14:paraId="6CEC0B15">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仿宋_GB2312" w:hAnsi="宋体" w:eastAsia="仿宋_GB2312" w:cs="仿宋_GB2312"/>
          <w:snapToGrid/>
          <w:color w:val="000000"/>
          <w:kern w:val="0"/>
          <w:sz w:val="32"/>
          <w:szCs w:val="32"/>
          <w:lang w:bidi="ar"/>
        </w:rPr>
        <w:t>符合条件的诚信对象在使用优惠前请先与参与企业济南莱芜公共交通集团有限公司</w:t>
      </w:r>
      <w:r>
        <w:rPr>
          <w:rFonts w:hint="eastAsia" w:ascii="仿宋_GB2312" w:hAnsi="宋体" w:eastAsia="仿宋_GB2312" w:cs="仿宋_GB2312"/>
          <w:snapToGrid/>
          <w:color w:val="000000"/>
          <w:kern w:val="0"/>
          <w:sz w:val="32"/>
          <w:szCs w:val="32"/>
          <w:lang w:eastAsia="zh-CN" w:bidi="ar"/>
        </w:rPr>
        <w:t>、山东莱芜长运集团有限公司</w:t>
      </w:r>
      <w:r>
        <w:rPr>
          <w:rFonts w:hint="eastAsia" w:ascii="仿宋_GB2312" w:hAnsi="宋体" w:eastAsia="仿宋_GB2312" w:cs="仿宋_GB2312"/>
          <w:snapToGrid/>
          <w:color w:val="000000"/>
          <w:kern w:val="0"/>
          <w:sz w:val="32"/>
          <w:szCs w:val="32"/>
          <w:lang w:bidi="ar"/>
        </w:rPr>
        <w:t>取得联系，了解优惠详情，享受优惠时，出示身份证和表彰证书原件等核实身份信息作为奖励凭证。</w:t>
      </w:r>
    </w:p>
    <w:p w14:paraId="0319A768">
      <w:pPr>
        <w:widowControl w:val="0"/>
        <w:kinsoku/>
        <w:autoSpaceDE/>
        <w:autoSpaceDN/>
        <w:adjustRightInd/>
        <w:snapToGrid/>
        <w:spacing w:line="600" w:lineRule="exact"/>
        <w:ind w:firstLine="624" w:firstLineChars="200"/>
        <w:jc w:val="both"/>
        <w:textAlignment w:val="auto"/>
        <w:rPr>
          <w:rFonts w:ascii="黑体" w:hAnsi="黑体" w:eastAsia="黑体" w:cs="黑体"/>
          <w:snapToGrid/>
          <w:spacing w:val="-4"/>
          <w:kern w:val="2"/>
          <w:sz w:val="32"/>
          <w:szCs w:val="32"/>
        </w:rPr>
      </w:pPr>
      <w:r>
        <w:rPr>
          <w:rFonts w:hint="eastAsia" w:ascii="黑体" w:hAnsi="黑体" w:eastAsia="黑体" w:cs="黑体"/>
          <w:snapToGrid/>
          <w:spacing w:val="-4"/>
          <w:kern w:val="2"/>
          <w:sz w:val="32"/>
          <w:szCs w:val="32"/>
        </w:rPr>
        <w:t>六、保障措施</w:t>
      </w:r>
    </w:p>
    <w:p w14:paraId="0D683E55">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楷体_GB2312" w:hAnsi="楷体_GB2312" w:eastAsia="楷体_GB2312" w:cs="楷体_GB2312"/>
          <w:snapToGrid/>
          <w:kern w:val="2"/>
          <w:sz w:val="32"/>
          <w:szCs w:val="32"/>
        </w:rPr>
        <w:t>（一）加强组织领导。</w:t>
      </w:r>
      <w:r>
        <w:rPr>
          <w:rFonts w:hint="eastAsia" w:ascii="仿宋_GB2312" w:hAnsi="宋体" w:eastAsia="仿宋_GB2312" w:cs="仿宋_GB2312"/>
          <w:snapToGrid/>
          <w:color w:val="000000"/>
          <w:kern w:val="0"/>
          <w:sz w:val="32"/>
          <w:szCs w:val="32"/>
          <w:lang w:bidi="ar"/>
        </w:rPr>
        <w:t>充分发挥上级主管部门的组织、引导和推动作用，鼓励调动社会力量广泛参与、共同推进，通力配合“信易+</w:t>
      </w:r>
      <w:r>
        <w:rPr>
          <w:rFonts w:hint="eastAsia" w:ascii="仿宋_GB2312" w:hAnsi="宋体" w:eastAsia="仿宋_GB2312" w:cs="仿宋_GB2312"/>
          <w:snapToGrid/>
          <w:color w:val="000000"/>
          <w:kern w:val="0"/>
          <w:sz w:val="32"/>
          <w:szCs w:val="32"/>
          <w:lang w:val="en-US" w:eastAsia="zh-CN" w:bidi="ar"/>
        </w:rPr>
        <w:t>公交</w:t>
      </w:r>
      <w:r>
        <w:rPr>
          <w:rFonts w:hint="eastAsia" w:ascii="仿宋_GB2312" w:hAnsi="宋体" w:eastAsia="仿宋_GB2312" w:cs="仿宋_GB2312"/>
          <w:snapToGrid/>
          <w:color w:val="000000"/>
          <w:kern w:val="0"/>
          <w:sz w:val="32"/>
          <w:szCs w:val="32"/>
          <w:lang w:bidi="ar"/>
        </w:rPr>
        <w:t>”守信激励创建工作。</w:t>
      </w:r>
    </w:p>
    <w:p w14:paraId="07EB2305">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楷体_GB2312" w:hAnsi="楷体_GB2312" w:eastAsia="楷体_GB2312" w:cs="楷体_GB2312"/>
          <w:snapToGrid/>
          <w:kern w:val="2"/>
          <w:sz w:val="32"/>
          <w:szCs w:val="32"/>
        </w:rPr>
        <w:t>（二）强化宣传引导。</w:t>
      </w:r>
      <w:r>
        <w:rPr>
          <w:rFonts w:hint="eastAsia" w:ascii="仿宋_GB2312" w:hAnsi="宋体" w:eastAsia="仿宋_GB2312" w:cs="仿宋_GB2312"/>
          <w:snapToGrid/>
          <w:color w:val="000000"/>
          <w:kern w:val="0"/>
          <w:sz w:val="32"/>
          <w:szCs w:val="32"/>
          <w:lang w:bidi="ar"/>
        </w:rPr>
        <w:t>在进站口、售票窗口、检票口等张贴优惠政策提示，利用公交车LED电子显示屏、车载电视以及借助“两微”（微信、微视频）等多手段广泛开展宣传，大力推介“信易+</w:t>
      </w:r>
      <w:r>
        <w:rPr>
          <w:rFonts w:hint="eastAsia" w:ascii="仿宋_GB2312" w:hAnsi="宋体" w:eastAsia="仿宋_GB2312" w:cs="仿宋_GB2312"/>
          <w:snapToGrid/>
          <w:color w:val="000000"/>
          <w:kern w:val="0"/>
          <w:sz w:val="32"/>
          <w:szCs w:val="32"/>
          <w:lang w:val="en-US" w:eastAsia="zh-CN" w:bidi="ar"/>
        </w:rPr>
        <w:t>公交</w:t>
      </w:r>
      <w:r>
        <w:rPr>
          <w:rFonts w:hint="eastAsia" w:ascii="仿宋_GB2312" w:hAnsi="宋体" w:eastAsia="仿宋_GB2312" w:cs="仿宋_GB2312"/>
          <w:snapToGrid/>
          <w:color w:val="000000"/>
          <w:kern w:val="0"/>
          <w:sz w:val="32"/>
          <w:szCs w:val="32"/>
          <w:lang w:bidi="ar"/>
        </w:rPr>
        <w:t>”激励对象、优惠项目，提高激励政策知晓率，营造良好的守信激励环境。</w:t>
      </w:r>
    </w:p>
    <w:p w14:paraId="406BFD6F">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楷体_GB2312" w:hAnsi="楷体_GB2312" w:eastAsia="楷体_GB2312" w:cs="楷体_GB2312"/>
          <w:snapToGrid/>
          <w:kern w:val="2"/>
          <w:sz w:val="32"/>
          <w:szCs w:val="32"/>
        </w:rPr>
        <w:t>（三）严守信用承诺。</w:t>
      </w:r>
      <w:r>
        <w:rPr>
          <w:rFonts w:hint="eastAsia" w:ascii="仿宋_GB2312" w:hAnsi="宋体" w:eastAsia="仿宋_GB2312" w:cs="仿宋_GB2312"/>
          <w:snapToGrid/>
          <w:color w:val="000000"/>
          <w:kern w:val="0"/>
          <w:sz w:val="32"/>
          <w:szCs w:val="32"/>
          <w:lang w:bidi="ar"/>
        </w:rPr>
        <w:t>按承诺严格兑现优惠政策，同时积极配合上级主管部门对本单位的监督和组织协调工作，确保各项激励措施落到实处。</w:t>
      </w:r>
    </w:p>
    <w:p w14:paraId="0CE0A50D">
      <w:pPr>
        <w:widowControl w:val="0"/>
        <w:kinsoku/>
        <w:autoSpaceDE/>
        <w:autoSpaceDN/>
        <w:adjustRightInd/>
        <w:snapToGrid/>
        <w:spacing w:line="600" w:lineRule="exact"/>
        <w:ind w:firstLine="640" w:firstLineChars="200"/>
        <w:jc w:val="both"/>
        <w:textAlignment w:val="auto"/>
        <w:rPr>
          <w:rFonts w:ascii="仿宋_GB2312" w:hAnsi="宋体" w:eastAsia="仿宋_GB2312" w:cs="仿宋_GB2312"/>
          <w:snapToGrid/>
          <w:color w:val="000000"/>
          <w:kern w:val="0"/>
          <w:sz w:val="32"/>
          <w:szCs w:val="32"/>
          <w:lang w:bidi="ar"/>
        </w:rPr>
      </w:pPr>
      <w:r>
        <w:rPr>
          <w:rFonts w:hint="eastAsia" w:ascii="楷体_GB2312" w:hAnsi="楷体_GB2312" w:eastAsia="楷体_GB2312" w:cs="楷体_GB2312"/>
          <w:snapToGrid/>
          <w:kern w:val="2"/>
          <w:sz w:val="32"/>
          <w:szCs w:val="32"/>
        </w:rPr>
        <w:t>（四）提升自身建设。</w:t>
      </w:r>
      <w:r>
        <w:rPr>
          <w:rFonts w:hint="eastAsia" w:ascii="仿宋_GB2312" w:hAnsi="宋体" w:eastAsia="仿宋_GB2312" w:cs="仿宋_GB2312"/>
          <w:snapToGrid/>
          <w:color w:val="000000"/>
          <w:kern w:val="0"/>
          <w:sz w:val="32"/>
          <w:szCs w:val="32"/>
          <w:lang w:bidi="ar"/>
        </w:rPr>
        <w:t>持续提升行业服务水平，充分发挥《驾驶员百分制考核办法》制度奖罚约束作用，通过雷锋月文明驾驶员评比、岗位技能比武等活动形式，切实提高客运从业人员的诚信意识、服务水平，夯实信用建设保障。</w:t>
      </w:r>
    </w:p>
    <w:p w14:paraId="6031B4C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16" w:firstLineChars="200"/>
        <w:jc w:val="both"/>
        <w:textAlignment w:val="baseline"/>
        <w:rPr>
          <w:rFonts w:ascii="仿宋_GB2312" w:hAnsi="仿宋" w:eastAsia="仿宋_GB2312" w:cs="仿宋"/>
          <w:spacing w:val="-6"/>
          <w:sz w:val="32"/>
          <w:szCs w:val="32"/>
        </w:rPr>
      </w:pPr>
    </w:p>
    <w:sectPr>
      <w:footerReference r:id="rId3" w:type="default"/>
      <w:pgSz w:w="11906" w:h="16838"/>
      <w:pgMar w:top="1928"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C9D9">
    <w:pPr>
      <w:spacing w:line="116" w:lineRule="exact"/>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1EC71">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21EC71">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14:paraId="6C0C682B">
    <w:pPr>
      <w:spacing w:line="116" w:lineRule="exact"/>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mE4ZmVkZDcyM2U4NzJlNzU5YjcxM2Q1NzU0MjIifQ=="/>
  </w:docVars>
  <w:rsids>
    <w:rsidRoot w:val="00145498"/>
    <w:rsid w:val="000A5BE9"/>
    <w:rsid w:val="000D08B6"/>
    <w:rsid w:val="00145498"/>
    <w:rsid w:val="00281E33"/>
    <w:rsid w:val="002A38E0"/>
    <w:rsid w:val="003F0A0C"/>
    <w:rsid w:val="00467D29"/>
    <w:rsid w:val="00484424"/>
    <w:rsid w:val="00786D3B"/>
    <w:rsid w:val="007A4F06"/>
    <w:rsid w:val="008455AF"/>
    <w:rsid w:val="00851F07"/>
    <w:rsid w:val="008B0E9C"/>
    <w:rsid w:val="008F594A"/>
    <w:rsid w:val="0097135B"/>
    <w:rsid w:val="009F6E45"/>
    <w:rsid w:val="00AE265E"/>
    <w:rsid w:val="00B73F3C"/>
    <w:rsid w:val="00B94D78"/>
    <w:rsid w:val="00C15D8C"/>
    <w:rsid w:val="00C40D07"/>
    <w:rsid w:val="00C74847"/>
    <w:rsid w:val="00CC0F52"/>
    <w:rsid w:val="00CC5B61"/>
    <w:rsid w:val="00D11C83"/>
    <w:rsid w:val="00D25613"/>
    <w:rsid w:val="00D7127B"/>
    <w:rsid w:val="00D721F5"/>
    <w:rsid w:val="00E17771"/>
    <w:rsid w:val="00E80370"/>
    <w:rsid w:val="00EC3300"/>
    <w:rsid w:val="00EC6E63"/>
    <w:rsid w:val="00F05D20"/>
    <w:rsid w:val="00F353D0"/>
    <w:rsid w:val="00F43DF3"/>
    <w:rsid w:val="00F52A62"/>
    <w:rsid w:val="00FF2FDC"/>
    <w:rsid w:val="032F2286"/>
    <w:rsid w:val="03D62AB0"/>
    <w:rsid w:val="044C330C"/>
    <w:rsid w:val="049A58FF"/>
    <w:rsid w:val="0591547A"/>
    <w:rsid w:val="06A42F8B"/>
    <w:rsid w:val="0A8C6210"/>
    <w:rsid w:val="0AD305F5"/>
    <w:rsid w:val="0C0F5923"/>
    <w:rsid w:val="0CCE2B10"/>
    <w:rsid w:val="0D9A0C44"/>
    <w:rsid w:val="0DF04D08"/>
    <w:rsid w:val="10196798"/>
    <w:rsid w:val="122356AC"/>
    <w:rsid w:val="138A3509"/>
    <w:rsid w:val="13AC16D1"/>
    <w:rsid w:val="14952165"/>
    <w:rsid w:val="15DE4BFE"/>
    <w:rsid w:val="17E458DD"/>
    <w:rsid w:val="18D21BDA"/>
    <w:rsid w:val="190958A0"/>
    <w:rsid w:val="190D6D01"/>
    <w:rsid w:val="19BE3F0C"/>
    <w:rsid w:val="1A271AB1"/>
    <w:rsid w:val="1A5605E9"/>
    <w:rsid w:val="1B37370E"/>
    <w:rsid w:val="1BB92BDD"/>
    <w:rsid w:val="1CB6711D"/>
    <w:rsid w:val="1D1B1114"/>
    <w:rsid w:val="225D56AB"/>
    <w:rsid w:val="226E73BD"/>
    <w:rsid w:val="231D1CA3"/>
    <w:rsid w:val="235A6A54"/>
    <w:rsid w:val="23733FB9"/>
    <w:rsid w:val="292F0982"/>
    <w:rsid w:val="29AA0009"/>
    <w:rsid w:val="29B570DA"/>
    <w:rsid w:val="2A6D318F"/>
    <w:rsid w:val="2E5A3DAC"/>
    <w:rsid w:val="2E6115DE"/>
    <w:rsid w:val="2F2919D0"/>
    <w:rsid w:val="306C6018"/>
    <w:rsid w:val="3392223A"/>
    <w:rsid w:val="34354729"/>
    <w:rsid w:val="34E35D81"/>
    <w:rsid w:val="35335357"/>
    <w:rsid w:val="35860AB3"/>
    <w:rsid w:val="37FA0C0A"/>
    <w:rsid w:val="39F24C2A"/>
    <w:rsid w:val="39F71049"/>
    <w:rsid w:val="3B2E0CDD"/>
    <w:rsid w:val="3C964B49"/>
    <w:rsid w:val="3CC822AE"/>
    <w:rsid w:val="3D255001"/>
    <w:rsid w:val="41116169"/>
    <w:rsid w:val="42BC2E2F"/>
    <w:rsid w:val="42C27D1A"/>
    <w:rsid w:val="42F542C6"/>
    <w:rsid w:val="42F75C15"/>
    <w:rsid w:val="43124176"/>
    <w:rsid w:val="44C76039"/>
    <w:rsid w:val="478A52AA"/>
    <w:rsid w:val="4A4D5DB6"/>
    <w:rsid w:val="4BF61DE9"/>
    <w:rsid w:val="4D7337FC"/>
    <w:rsid w:val="4DE66FB2"/>
    <w:rsid w:val="4EA824BA"/>
    <w:rsid w:val="4F165675"/>
    <w:rsid w:val="509C2095"/>
    <w:rsid w:val="50A3118B"/>
    <w:rsid w:val="530D6D8F"/>
    <w:rsid w:val="54273E81"/>
    <w:rsid w:val="549F45A4"/>
    <w:rsid w:val="557A09FC"/>
    <w:rsid w:val="559A349E"/>
    <w:rsid w:val="59195AAE"/>
    <w:rsid w:val="5BA67D81"/>
    <w:rsid w:val="5C7F3C67"/>
    <w:rsid w:val="5DD674B0"/>
    <w:rsid w:val="5F473629"/>
    <w:rsid w:val="64195594"/>
    <w:rsid w:val="64E21E2A"/>
    <w:rsid w:val="69110F2F"/>
    <w:rsid w:val="6BA936A1"/>
    <w:rsid w:val="6BF07522"/>
    <w:rsid w:val="6C91695C"/>
    <w:rsid w:val="6CFE5C6F"/>
    <w:rsid w:val="72D57F58"/>
    <w:rsid w:val="73A979E7"/>
    <w:rsid w:val="73CD1EF7"/>
    <w:rsid w:val="73E7745D"/>
    <w:rsid w:val="756B19C7"/>
    <w:rsid w:val="762F0AE4"/>
    <w:rsid w:val="7805745D"/>
    <w:rsid w:val="7892370F"/>
    <w:rsid w:val="7BFC15CB"/>
    <w:rsid w:val="7D1D3EEF"/>
    <w:rsid w:val="7D531A22"/>
    <w:rsid w:val="7D80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pPr>
    <w:rPr>
      <w:sz w:val="18"/>
      <w:szCs w:val="18"/>
    </w:rPr>
  </w:style>
  <w:style w:type="paragraph" w:styleId="3">
    <w:name w:val="header"/>
    <w:basedOn w:val="1"/>
    <w:link w:val="9"/>
    <w:qFormat/>
    <w:uiPriority w:val="0"/>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kinsoku w:val="0"/>
      <w:autoSpaceDE w:val="0"/>
      <w:autoSpaceDN w:val="0"/>
      <w:adjustRightInd w:val="0"/>
      <w:snapToGri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0"/>
    <w:rPr>
      <w:rFonts w:ascii="Arial" w:hAnsi="Arial" w:eastAsia="Arial" w:cs="Arial"/>
      <w:snapToGrid w:val="0"/>
      <w:color w:val="000000"/>
      <w:sz w:val="18"/>
      <w:szCs w:val="18"/>
    </w:rPr>
  </w:style>
  <w:style w:type="character" w:customStyle="1" w:styleId="10">
    <w:name w:val="页脚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Pages>
  <Words>1667</Words>
  <Characters>1688</Characters>
  <Lines>14</Lines>
  <Paragraphs>4</Paragraphs>
  <TotalTime>0</TotalTime>
  <ScaleCrop>false</ScaleCrop>
  <LinksUpToDate>false</LinksUpToDate>
  <CharactersWithSpaces>1693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2023-07-20T06:46:00Z</dcterms:created>
  <dc:creator>DELL</dc:creator>
  <cp:lastModifiedBy>WPS_1702275814</cp:lastModifiedBy>
  <cp:lastPrinted>2024-09-12T01:17:00Z</cp:lastPrinted>
  <dcterms:modified xsi:type="dcterms:W3CDTF">2024-10-28T06:29:54Z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381852F232584B188269FFC1D34E8E7C_12</vt:lpwstr>
  </property>
</Properties>
</file>