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2E" w:rsidRDefault="0027182E" w:rsidP="00F1190C">
      <w:pPr>
        <w:rPr>
          <w:rFonts w:ascii="宋体" w:eastAsia="宋体" w:hAnsi="宋体"/>
          <w:b/>
          <w:bCs/>
          <w:sz w:val="44"/>
          <w:szCs w:val="44"/>
        </w:rPr>
      </w:pPr>
    </w:p>
    <w:p w:rsidR="0027182E" w:rsidRDefault="00007471">
      <w:pPr>
        <w:jc w:val="center"/>
        <w:rPr>
          <w:rFonts w:ascii="宋体" w:eastAsia="宋体" w:hAnsi="宋体"/>
          <w:b/>
          <w:bCs/>
          <w:sz w:val="44"/>
          <w:szCs w:val="44"/>
        </w:rPr>
      </w:pPr>
      <w:r>
        <w:rPr>
          <w:rFonts w:ascii="宋体" w:eastAsia="宋体" w:hAnsi="宋体" w:hint="eastAsia"/>
          <w:b/>
          <w:bCs/>
          <w:sz w:val="44"/>
          <w:szCs w:val="44"/>
        </w:rPr>
        <w:t>济南市莱芜区人民政府</w:t>
      </w:r>
    </w:p>
    <w:p w:rsidR="0027182E" w:rsidRDefault="00007471">
      <w:pPr>
        <w:jc w:val="center"/>
        <w:rPr>
          <w:rFonts w:ascii="宋体" w:eastAsia="宋体" w:hAnsi="宋体"/>
          <w:b/>
          <w:bCs/>
          <w:sz w:val="32"/>
          <w:szCs w:val="32"/>
        </w:rPr>
      </w:pPr>
      <w:r>
        <w:rPr>
          <w:rFonts w:ascii="宋体" w:eastAsia="宋体" w:hAnsi="宋体" w:hint="eastAsia"/>
          <w:b/>
          <w:bCs/>
          <w:sz w:val="44"/>
          <w:szCs w:val="44"/>
        </w:rPr>
        <w:t>关于公布莱芜区城镇土地级别与基准地价的通知</w:t>
      </w:r>
    </w:p>
    <w:p w:rsidR="0027182E" w:rsidRDefault="00007471">
      <w:pPr>
        <w:rPr>
          <w:rFonts w:ascii="仿宋_GB2312" w:eastAsia="仿宋_GB2312"/>
          <w:sz w:val="32"/>
          <w:szCs w:val="32"/>
        </w:rPr>
      </w:pPr>
      <w:r>
        <w:rPr>
          <w:rFonts w:ascii="仿宋_GB2312" w:eastAsia="仿宋_GB2312" w:hint="eastAsia"/>
          <w:sz w:val="32"/>
          <w:szCs w:val="32"/>
        </w:rPr>
        <w:t>各功能区管委会，各街道（镇）办事处（人民政府），区政府各部门，区直各企事业单位：</w:t>
      </w:r>
    </w:p>
    <w:p w:rsidR="0027182E" w:rsidRDefault="00007471">
      <w:pPr>
        <w:spacing w:after="0" w:line="240" w:lineRule="auto"/>
        <w:ind w:firstLineChars="200" w:firstLine="640"/>
        <w:rPr>
          <w:rFonts w:ascii="仿宋_GB2312" w:eastAsia="仿宋_GB2312"/>
          <w:sz w:val="32"/>
          <w:szCs w:val="32"/>
        </w:rPr>
      </w:pPr>
      <w:r>
        <w:rPr>
          <w:rFonts w:ascii="仿宋_GB2312" w:eastAsia="仿宋_GB2312" w:hint="eastAsia"/>
          <w:sz w:val="32"/>
          <w:szCs w:val="32"/>
        </w:rPr>
        <w:t>根据</w:t>
      </w:r>
      <w:r w:rsidR="00F1190C">
        <w:rPr>
          <w:rFonts w:ascii="仿宋_GB2312" w:eastAsia="仿宋_GB2312" w:hint="eastAsia"/>
          <w:sz w:val="32"/>
          <w:szCs w:val="32"/>
        </w:rPr>
        <w:t>山东</w:t>
      </w:r>
      <w:r>
        <w:rPr>
          <w:rFonts w:ascii="仿宋_GB2312" w:eastAsia="仿宋_GB2312" w:hint="eastAsia"/>
          <w:sz w:val="32"/>
          <w:szCs w:val="32"/>
        </w:rPr>
        <w:t>省自然资源厅《关于做好</w:t>
      </w:r>
      <w:r>
        <w:rPr>
          <w:rFonts w:ascii="仿宋_GB2312" w:eastAsia="仿宋_GB2312"/>
          <w:sz w:val="32"/>
          <w:szCs w:val="32"/>
        </w:rPr>
        <w:t>2022年度自然资源评价评估工作的通知》（鲁自然资字[2022]75号）</w:t>
      </w:r>
      <w:r>
        <w:rPr>
          <w:rFonts w:ascii="仿宋_GB2312" w:eastAsia="仿宋_GB2312" w:hint="eastAsia"/>
          <w:sz w:val="32"/>
          <w:szCs w:val="32"/>
        </w:rPr>
        <w:t>要求，我区认真组织开展了城镇土地级别与基准地价更新工作，更新成果已通过省市专家组验收，现将更新调整</w:t>
      </w:r>
      <w:r w:rsidR="00841BF9">
        <w:rPr>
          <w:rFonts w:ascii="仿宋_GB2312" w:eastAsia="仿宋_GB2312" w:hint="eastAsia"/>
          <w:sz w:val="32"/>
          <w:szCs w:val="32"/>
        </w:rPr>
        <w:t>后</w:t>
      </w:r>
      <w:r>
        <w:rPr>
          <w:rFonts w:ascii="仿宋_GB2312" w:eastAsia="仿宋_GB2312" w:hint="eastAsia"/>
          <w:sz w:val="32"/>
          <w:szCs w:val="32"/>
        </w:rPr>
        <w:t>的土地级别与基准地价成果予以公布。本通知自公布之日起执行，执行中的具体问题由莱芜区自然资源局负责解释。</w:t>
      </w:r>
    </w:p>
    <w:p w:rsidR="0027182E" w:rsidRDefault="0027182E">
      <w:pPr>
        <w:spacing w:after="0" w:line="240" w:lineRule="auto"/>
        <w:ind w:firstLineChars="200" w:firstLine="640"/>
        <w:rPr>
          <w:rFonts w:ascii="仿宋_GB2312" w:eastAsia="仿宋_GB2312"/>
          <w:sz w:val="32"/>
          <w:szCs w:val="32"/>
        </w:rPr>
      </w:pPr>
    </w:p>
    <w:p w:rsidR="0027182E" w:rsidRDefault="00007471">
      <w:pPr>
        <w:spacing w:after="0" w:line="240" w:lineRule="auto"/>
        <w:ind w:firstLineChars="200" w:firstLine="640"/>
        <w:rPr>
          <w:rFonts w:ascii="仿宋_GB2312" w:eastAsia="仿宋_GB2312"/>
          <w:sz w:val="32"/>
          <w:szCs w:val="32"/>
        </w:rPr>
      </w:pPr>
      <w:r>
        <w:rPr>
          <w:rFonts w:ascii="仿宋_GB2312" w:eastAsia="仿宋_GB2312" w:hint="eastAsia"/>
          <w:sz w:val="32"/>
          <w:szCs w:val="32"/>
        </w:rPr>
        <w:t>附件：济南市莱芜区城镇土地级别与基准地价更新成果</w:t>
      </w:r>
    </w:p>
    <w:p w:rsidR="0027182E" w:rsidRDefault="0027182E">
      <w:pPr>
        <w:spacing w:after="0" w:line="240" w:lineRule="auto"/>
        <w:rPr>
          <w:rFonts w:ascii="仿宋_GB2312" w:eastAsia="仿宋_GB2312"/>
          <w:sz w:val="32"/>
          <w:szCs w:val="32"/>
        </w:rPr>
      </w:pPr>
    </w:p>
    <w:p w:rsidR="0027182E" w:rsidRDefault="00007471">
      <w:pPr>
        <w:spacing w:after="0" w:line="240" w:lineRule="auto"/>
        <w:jc w:val="right"/>
        <w:rPr>
          <w:rFonts w:ascii="仿宋_GB2312" w:eastAsia="仿宋_GB2312"/>
          <w:sz w:val="32"/>
          <w:szCs w:val="32"/>
        </w:rPr>
      </w:pPr>
      <w:r>
        <w:rPr>
          <w:rFonts w:ascii="仿宋_GB2312" w:eastAsia="仿宋_GB2312" w:hint="eastAsia"/>
          <w:sz w:val="32"/>
          <w:szCs w:val="32"/>
        </w:rPr>
        <w:t>济南市莱芜区人民政府</w:t>
      </w:r>
    </w:p>
    <w:p w:rsidR="0027182E" w:rsidRDefault="00007471">
      <w:pPr>
        <w:wordWrap w:val="0"/>
        <w:spacing w:after="0" w:line="240" w:lineRule="auto"/>
        <w:jc w:val="right"/>
        <w:rPr>
          <w:rFonts w:ascii="仿宋_GB2312" w:eastAsia="仿宋_GB2312"/>
          <w:sz w:val="32"/>
          <w:szCs w:val="32"/>
        </w:rPr>
      </w:pPr>
      <w:r>
        <w:rPr>
          <w:rFonts w:ascii="仿宋_GB2312" w:eastAsia="仿宋_GB2312" w:hint="eastAsia"/>
          <w:sz w:val="32"/>
          <w:szCs w:val="32"/>
        </w:rPr>
        <w:t>2024年</w:t>
      </w:r>
      <w:r w:rsidR="005842E4">
        <w:rPr>
          <w:rFonts w:ascii="仿宋_GB2312" w:eastAsia="仿宋_GB2312" w:hint="eastAsia"/>
          <w:sz w:val="32"/>
          <w:szCs w:val="32"/>
        </w:rPr>
        <w:t>7</w:t>
      </w:r>
      <w:r>
        <w:rPr>
          <w:rFonts w:ascii="仿宋_GB2312" w:eastAsia="仿宋_GB2312" w:hint="eastAsia"/>
          <w:sz w:val="32"/>
          <w:szCs w:val="32"/>
        </w:rPr>
        <w:t>月</w:t>
      </w:r>
      <w:r w:rsidR="005842E4">
        <w:rPr>
          <w:rFonts w:ascii="仿宋_GB2312" w:eastAsia="仿宋_GB2312" w:hint="eastAsia"/>
          <w:sz w:val="32"/>
          <w:szCs w:val="32"/>
        </w:rPr>
        <w:t>11</w:t>
      </w:r>
      <w:r>
        <w:rPr>
          <w:rFonts w:ascii="仿宋_GB2312" w:eastAsia="仿宋_GB2312" w:hint="eastAsia"/>
          <w:sz w:val="32"/>
          <w:szCs w:val="32"/>
        </w:rPr>
        <w:t xml:space="preserve">日   </w:t>
      </w:r>
    </w:p>
    <w:p w:rsidR="0027182E" w:rsidRDefault="00007471">
      <w:pPr>
        <w:spacing w:after="0" w:line="240" w:lineRule="auto"/>
        <w:rPr>
          <w:rFonts w:ascii="仿宋_GB2312" w:eastAsia="仿宋_GB2312"/>
          <w:sz w:val="32"/>
          <w:szCs w:val="32"/>
        </w:rPr>
      </w:pPr>
      <w:r>
        <w:rPr>
          <w:rFonts w:ascii="仿宋_GB2312" w:eastAsia="仿宋_GB2312" w:hint="eastAsia"/>
          <w:sz w:val="32"/>
          <w:szCs w:val="32"/>
        </w:rPr>
        <w:t>（此件公开发布）</w:t>
      </w:r>
    </w:p>
    <w:p w:rsidR="005842E4" w:rsidRDefault="005842E4">
      <w:pPr>
        <w:spacing w:after="0" w:line="240" w:lineRule="auto"/>
        <w:rPr>
          <w:rFonts w:ascii="仿宋_GB2312" w:eastAsia="仿宋_GB2312"/>
          <w:sz w:val="32"/>
          <w:szCs w:val="32"/>
        </w:rPr>
      </w:pPr>
    </w:p>
    <w:p w:rsidR="005842E4" w:rsidRDefault="005842E4">
      <w:pPr>
        <w:spacing w:after="0" w:line="240" w:lineRule="auto"/>
        <w:rPr>
          <w:rFonts w:ascii="仿宋_GB2312" w:eastAsia="仿宋_GB2312"/>
          <w:sz w:val="32"/>
          <w:szCs w:val="32"/>
        </w:rPr>
      </w:pPr>
    </w:p>
    <w:p w:rsidR="005842E4" w:rsidRDefault="005842E4">
      <w:pPr>
        <w:spacing w:after="0" w:line="240" w:lineRule="auto"/>
        <w:rPr>
          <w:rFonts w:ascii="仿宋_GB2312" w:eastAsia="仿宋_GB2312"/>
          <w:sz w:val="32"/>
          <w:szCs w:val="32"/>
        </w:rPr>
      </w:pPr>
    </w:p>
    <w:p w:rsidR="005842E4" w:rsidRDefault="005842E4">
      <w:pPr>
        <w:spacing w:after="0" w:line="240" w:lineRule="auto"/>
        <w:rPr>
          <w:rFonts w:ascii="仿宋_GB2312" w:eastAsia="仿宋_GB2312"/>
          <w:sz w:val="32"/>
          <w:szCs w:val="32"/>
        </w:rPr>
      </w:pPr>
    </w:p>
    <w:p w:rsidR="0027182E" w:rsidRDefault="00007471">
      <w:pPr>
        <w:rPr>
          <w:rFonts w:ascii="仿宋_GB2312" w:eastAsia="仿宋_GB2312"/>
          <w:sz w:val="32"/>
          <w:szCs w:val="32"/>
        </w:rPr>
      </w:pPr>
      <w:r>
        <w:rPr>
          <w:rFonts w:ascii="仿宋_GB2312" w:eastAsia="仿宋_GB2312" w:hint="eastAsia"/>
          <w:sz w:val="32"/>
          <w:szCs w:val="32"/>
        </w:rPr>
        <w:lastRenderedPageBreak/>
        <w:t>附件</w:t>
      </w:r>
    </w:p>
    <w:p w:rsidR="0027182E" w:rsidRDefault="00007471">
      <w:pPr>
        <w:jc w:val="center"/>
        <w:rPr>
          <w:rFonts w:ascii="宋体" w:eastAsia="宋体" w:hAnsi="宋体"/>
          <w:b/>
          <w:bCs/>
          <w:sz w:val="32"/>
          <w:szCs w:val="32"/>
        </w:rPr>
      </w:pPr>
      <w:r>
        <w:rPr>
          <w:rFonts w:ascii="宋体" w:eastAsia="宋体" w:hAnsi="宋体" w:hint="eastAsia"/>
          <w:b/>
          <w:bCs/>
          <w:sz w:val="32"/>
          <w:szCs w:val="32"/>
        </w:rPr>
        <w:t>济南市莱芜区城镇土地级别与基准地价更新成果</w:t>
      </w:r>
    </w:p>
    <w:p w:rsidR="0027182E" w:rsidRDefault="00007471">
      <w:pPr>
        <w:pStyle w:val="a7"/>
        <w:shd w:val="clear" w:color="auto" w:fill="FFFFFF"/>
        <w:spacing w:before="0" w:beforeAutospacing="0" w:after="0" w:afterAutospacing="0"/>
        <w:ind w:firstLineChars="200" w:firstLine="640"/>
        <w:rPr>
          <w:rStyle w:val="a9"/>
          <w:rFonts w:ascii="微软雅黑" w:eastAsia="微软雅黑" w:hAnsi="微软雅黑"/>
          <w:sz w:val="32"/>
          <w:szCs w:val="32"/>
        </w:rPr>
      </w:pPr>
      <w:r>
        <w:rPr>
          <w:rStyle w:val="a9"/>
          <w:rFonts w:ascii="微软雅黑" w:eastAsia="微软雅黑" w:hAnsi="微软雅黑" w:hint="eastAsia"/>
          <w:sz w:val="32"/>
          <w:szCs w:val="32"/>
        </w:rPr>
        <w:t>一、基准地价基准日</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2023年1月1日</w:t>
      </w:r>
    </w:p>
    <w:p w:rsidR="0027182E" w:rsidRDefault="00007471">
      <w:pPr>
        <w:pStyle w:val="a7"/>
        <w:shd w:val="clear" w:color="auto" w:fill="FFFFFF"/>
        <w:spacing w:before="0" w:beforeAutospacing="0" w:after="0" w:afterAutospacing="0"/>
        <w:ind w:firstLineChars="200" w:firstLine="640"/>
        <w:rPr>
          <w:rStyle w:val="a9"/>
          <w:rFonts w:ascii="微软雅黑" w:eastAsia="微软雅黑" w:hAnsi="微软雅黑"/>
          <w:sz w:val="32"/>
          <w:szCs w:val="32"/>
        </w:rPr>
      </w:pPr>
      <w:r>
        <w:rPr>
          <w:rStyle w:val="a9"/>
          <w:rFonts w:ascii="微软雅黑" w:eastAsia="微软雅黑" w:hAnsi="微软雅黑" w:hint="eastAsia"/>
          <w:sz w:val="32"/>
          <w:szCs w:val="32"/>
        </w:rPr>
        <w:t>二、土地级别与基准地价更新范围</w:t>
      </w:r>
    </w:p>
    <w:p w:rsidR="0027182E" w:rsidRDefault="00007471">
      <w:pPr>
        <w:pStyle w:val="a7"/>
        <w:shd w:val="clear" w:color="auto" w:fill="FFFFFF"/>
        <w:spacing w:before="0" w:beforeAutospacing="0" w:after="0" w:afterAutospacing="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(一)城区评价范围</w:t>
      </w:r>
    </w:p>
    <w:p w:rsidR="0027182E" w:rsidRDefault="00007471">
      <w:pPr>
        <w:pStyle w:val="a7"/>
        <w:shd w:val="clear" w:color="auto" w:fill="FFFFFF"/>
        <w:spacing w:before="0" w:beforeAutospacing="0" w:after="0" w:afterAutospacing="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东至滨莱高速-磁莱铁路，南至汶河，西至嘶马河-莱城大道西500米，北至京沪高速-济莱高铁莱芜北站-瓦日铁路。评价区总面积132.20平方公里。</w:t>
      </w:r>
    </w:p>
    <w:p w:rsidR="0027182E" w:rsidRDefault="00007471">
      <w:pPr>
        <w:pStyle w:val="a7"/>
        <w:shd w:val="clear" w:color="auto" w:fill="FFFFFF"/>
        <w:spacing w:before="0" w:beforeAutospacing="0" w:after="0" w:afterAutospacing="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（二）各建制街道（镇）评价范围</w:t>
      </w:r>
    </w:p>
    <w:p w:rsidR="0027182E" w:rsidRDefault="00007471">
      <w:pPr>
        <w:pStyle w:val="a7"/>
        <w:shd w:val="clear" w:color="auto" w:fill="FFFFFF"/>
        <w:spacing w:before="0" w:beforeAutospacing="0" w:after="0" w:afterAutospacing="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各建制街道（镇）驻地的评价范围依据国土空间规划新划定的三区三线范围确定，主要涵盖各建制街道（镇）驻地已纳入城镇开发边界的集中连片的建设用地区域，各建制街道（镇）评价区面积如表1。</w:t>
      </w:r>
    </w:p>
    <w:p w:rsidR="0027182E" w:rsidRDefault="00007471">
      <w:pPr>
        <w:pStyle w:val="a7"/>
        <w:shd w:val="clear" w:color="auto" w:fill="FFFFFF"/>
        <w:spacing w:before="0" w:beforeAutospacing="0" w:after="0" w:afterAutospacing="0"/>
        <w:jc w:val="center"/>
        <w:rPr>
          <w:rFonts w:ascii="仿宋_GB2312" w:eastAsia="仿宋_GB2312" w:hAnsi="微软雅黑"/>
          <w:sz w:val="32"/>
          <w:szCs w:val="32"/>
        </w:rPr>
      </w:pPr>
      <w:r>
        <w:rPr>
          <w:rFonts w:ascii="仿宋_GB2312" w:eastAsia="仿宋_GB2312" w:hAnsi="微软雅黑" w:hint="eastAsia"/>
          <w:sz w:val="32"/>
          <w:szCs w:val="32"/>
        </w:rPr>
        <w:t>表1  济南市莱芜区各建制街道（镇）评价范围面积表</w:t>
      </w:r>
    </w:p>
    <w:p w:rsidR="0027182E" w:rsidRDefault="00007471">
      <w:pPr>
        <w:pStyle w:val="a7"/>
        <w:shd w:val="clear" w:color="auto" w:fill="FFFFFF"/>
        <w:spacing w:before="0" w:beforeAutospacing="0" w:after="0" w:afterAutospacing="0"/>
        <w:jc w:val="right"/>
        <w:rPr>
          <w:rFonts w:ascii="仿宋_GB2312" w:eastAsia="仿宋_GB2312" w:hAnsi="微软雅黑"/>
          <w:b/>
          <w:bCs/>
          <w:sz w:val="21"/>
          <w:szCs w:val="21"/>
        </w:rPr>
      </w:pPr>
      <w:r>
        <w:rPr>
          <w:rFonts w:ascii="仿宋_GB2312" w:eastAsia="仿宋_GB2312" w:hAnsi="微软雅黑" w:hint="eastAsia"/>
          <w:b/>
          <w:bCs/>
          <w:sz w:val="21"/>
          <w:szCs w:val="21"/>
        </w:rPr>
        <w:t>单位：平方公里</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296"/>
        <w:gridCol w:w="1701"/>
        <w:gridCol w:w="1134"/>
        <w:gridCol w:w="1134"/>
        <w:gridCol w:w="1134"/>
        <w:gridCol w:w="1021"/>
      </w:tblGrid>
      <w:tr w:rsidR="0027182E">
        <w:trPr>
          <w:trHeight w:val="567"/>
          <w:jc w:val="center"/>
        </w:trPr>
        <w:tc>
          <w:tcPr>
            <w:tcW w:w="1960"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建制街道（镇）名称</w:t>
            </w:r>
          </w:p>
        </w:tc>
        <w:tc>
          <w:tcPr>
            <w:tcW w:w="1296"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雪野旅游区（雪野街道）</w:t>
            </w:r>
          </w:p>
        </w:tc>
        <w:tc>
          <w:tcPr>
            <w:tcW w:w="1701"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高庄街道</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口镇街道</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羊里街道</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方下街道</w:t>
            </w:r>
          </w:p>
        </w:tc>
        <w:tc>
          <w:tcPr>
            <w:tcW w:w="1021"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牛泉镇</w:t>
            </w:r>
          </w:p>
        </w:tc>
      </w:tr>
      <w:tr w:rsidR="0027182E">
        <w:trPr>
          <w:trHeight w:val="567"/>
          <w:jc w:val="center"/>
        </w:trPr>
        <w:tc>
          <w:tcPr>
            <w:tcW w:w="1960"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评价区面积</w:t>
            </w:r>
          </w:p>
        </w:tc>
        <w:tc>
          <w:tcPr>
            <w:tcW w:w="1296"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color w:val="000000"/>
                <w:kern w:val="0"/>
                <w:sz w:val="21"/>
                <w:szCs w:val="21"/>
              </w:rPr>
              <w:t>36.47</w:t>
            </w:r>
          </w:p>
        </w:tc>
        <w:tc>
          <w:tcPr>
            <w:tcW w:w="1701"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5.54</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37.31</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9</w:t>
            </w:r>
            <w:r>
              <w:rPr>
                <w:rFonts w:ascii="仿宋_GB2312" w:eastAsia="仿宋_GB2312" w:hAnsi="宋体" w:cs="宋体"/>
                <w:color w:val="000000"/>
                <w:kern w:val="0"/>
                <w:sz w:val="21"/>
                <w:szCs w:val="21"/>
              </w:rPr>
              <w:t>.</w:t>
            </w:r>
            <w:r>
              <w:rPr>
                <w:rFonts w:ascii="仿宋_GB2312" w:eastAsia="仿宋_GB2312" w:hAnsi="宋体" w:cs="宋体" w:hint="eastAsia"/>
                <w:color w:val="000000"/>
                <w:kern w:val="0"/>
                <w:sz w:val="21"/>
                <w:szCs w:val="21"/>
              </w:rPr>
              <w:t>07</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9</w:t>
            </w:r>
            <w:r>
              <w:rPr>
                <w:rFonts w:ascii="仿宋_GB2312" w:eastAsia="仿宋_GB2312" w:hAnsi="宋体" w:cs="宋体"/>
                <w:color w:val="000000"/>
                <w:kern w:val="0"/>
                <w:sz w:val="21"/>
                <w:szCs w:val="21"/>
              </w:rPr>
              <w:t>.</w:t>
            </w:r>
            <w:r>
              <w:rPr>
                <w:rFonts w:ascii="仿宋_GB2312" w:eastAsia="仿宋_GB2312" w:hAnsi="宋体" w:cs="宋体" w:hint="eastAsia"/>
                <w:color w:val="000000"/>
                <w:kern w:val="0"/>
                <w:sz w:val="21"/>
                <w:szCs w:val="21"/>
              </w:rPr>
              <w:t>73</w:t>
            </w:r>
          </w:p>
        </w:tc>
        <w:tc>
          <w:tcPr>
            <w:tcW w:w="1021"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3</w:t>
            </w:r>
            <w:r>
              <w:rPr>
                <w:rFonts w:ascii="仿宋_GB2312" w:eastAsia="仿宋_GB2312" w:hAnsi="宋体" w:cs="宋体"/>
                <w:color w:val="000000"/>
                <w:kern w:val="0"/>
                <w:sz w:val="21"/>
                <w:szCs w:val="21"/>
              </w:rPr>
              <w:t>.84</w:t>
            </w:r>
          </w:p>
        </w:tc>
      </w:tr>
      <w:tr w:rsidR="0027182E">
        <w:trPr>
          <w:trHeight w:val="567"/>
          <w:jc w:val="center"/>
        </w:trPr>
        <w:tc>
          <w:tcPr>
            <w:tcW w:w="1960"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建制街道（镇）名称</w:t>
            </w:r>
          </w:p>
        </w:tc>
        <w:tc>
          <w:tcPr>
            <w:tcW w:w="1296"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苗山镇</w:t>
            </w:r>
          </w:p>
        </w:tc>
        <w:tc>
          <w:tcPr>
            <w:tcW w:w="1701"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大王庄镇</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寨里镇</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杨庄镇</w:t>
            </w:r>
          </w:p>
        </w:tc>
        <w:tc>
          <w:tcPr>
            <w:tcW w:w="1134"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茶业口镇</w:t>
            </w:r>
          </w:p>
        </w:tc>
        <w:tc>
          <w:tcPr>
            <w:tcW w:w="1021" w:type="dxa"/>
            <w:shd w:val="clear" w:color="auto" w:fill="auto"/>
            <w:vAlign w:val="center"/>
          </w:tcPr>
          <w:p w:rsidR="0027182E" w:rsidRDefault="00007471">
            <w:pPr>
              <w:widowControl/>
              <w:jc w:val="center"/>
              <w:rPr>
                <w:rFonts w:ascii="仿宋_GB2312" w:eastAsia="仿宋_GB2312" w:hAnsi="宋体" w:cs="宋体"/>
                <w:b/>
                <w:bCs/>
                <w:color w:val="000000"/>
                <w:kern w:val="0"/>
                <w:sz w:val="21"/>
                <w:szCs w:val="21"/>
              </w:rPr>
            </w:pPr>
            <w:r>
              <w:rPr>
                <w:rFonts w:ascii="仿宋_GB2312" w:eastAsia="仿宋_GB2312" w:hAnsi="宋体" w:cs="宋体" w:hint="eastAsia"/>
                <w:b/>
                <w:bCs/>
                <w:color w:val="000000"/>
                <w:kern w:val="0"/>
                <w:sz w:val="21"/>
                <w:szCs w:val="21"/>
              </w:rPr>
              <w:t>和庄镇</w:t>
            </w:r>
          </w:p>
        </w:tc>
      </w:tr>
      <w:tr w:rsidR="0027182E">
        <w:trPr>
          <w:trHeight w:val="567"/>
          <w:jc w:val="center"/>
        </w:trPr>
        <w:tc>
          <w:tcPr>
            <w:tcW w:w="1960"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评价区面积</w:t>
            </w:r>
          </w:p>
        </w:tc>
        <w:tc>
          <w:tcPr>
            <w:tcW w:w="1296"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2.97</w:t>
            </w:r>
          </w:p>
        </w:tc>
        <w:tc>
          <w:tcPr>
            <w:tcW w:w="1701"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2.50</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3.02</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5.91</w:t>
            </w:r>
          </w:p>
        </w:tc>
        <w:tc>
          <w:tcPr>
            <w:tcW w:w="1134"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0.76</w:t>
            </w:r>
          </w:p>
        </w:tc>
        <w:tc>
          <w:tcPr>
            <w:tcW w:w="1021" w:type="dxa"/>
            <w:shd w:val="clear" w:color="auto" w:fill="auto"/>
            <w:vAlign w:val="center"/>
          </w:tcPr>
          <w:p w:rsidR="0027182E" w:rsidRDefault="00007471">
            <w:pPr>
              <w:widowControl/>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1</w:t>
            </w:r>
            <w:r>
              <w:rPr>
                <w:rFonts w:ascii="仿宋_GB2312" w:eastAsia="仿宋_GB2312" w:hAnsi="宋体" w:cs="宋体"/>
                <w:color w:val="000000"/>
                <w:kern w:val="0"/>
                <w:sz w:val="21"/>
                <w:szCs w:val="21"/>
              </w:rPr>
              <w:t>.38</w:t>
            </w:r>
          </w:p>
        </w:tc>
      </w:tr>
    </w:tbl>
    <w:p w:rsidR="0027182E" w:rsidRDefault="00007471">
      <w:pPr>
        <w:pStyle w:val="a7"/>
        <w:shd w:val="clear" w:color="auto" w:fill="FFFFFF"/>
        <w:spacing w:before="0" w:beforeAutospacing="0" w:after="0" w:afterAutospacing="0"/>
        <w:ind w:firstLineChars="200" w:firstLine="640"/>
        <w:rPr>
          <w:rStyle w:val="a9"/>
          <w:rFonts w:ascii="微软雅黑" w:eastAsia="微软雅黑" w:hAnsi="微软雅黑"/>
          <w:sz w:val="32"/>
          <w:szCs w:val="32"/>
        </w:rPr>
      </w:pPr>
      <w:r>
        <w:rPr>
          <w:rStyle w:val="a9"/>
          <w:rFonts w:ascii="微软雅黑" w:eastAsia="微软雅黑" w:hAnsi="微软雅黑" w:hint="eastAsia"/>
          <w:sz w:val="32"/>
          <w:szCs w:val="32"/>
        </w:rPr>
        <w:lastRenderedPageBreak/>
        <w:t>三、土地级别成果</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（一）城区</w:t>
      </w:r>
    </w:p>
    <w:p w:rsidR="0027182E" w:rsidRDefault="00007471">
      <w:pPr>
        <w:pStyle w:val="a7"/>
        <w:shd w:val="clear" w:color="auto" w:fill="FFFFFF"/>
        <w:spacing w:before="0" w:beforeAutospacing="0" w:after="0" w:afterAutospacing="0" w:line="360" w:lineRule="auto"/>
        <w:ind w:firstLineChars="200" w:firstLine="640"/>
        <w:rPr>
          <w:rFonts w:ascii="仿宋_GB2312" w:eastAsia="仿宋_GB2312" w:hAnsi="微软雅黑"/>
          <w:color w:val="FF0000"/>
          <w:sz w:val="32"/>
          <w:szCs w:val="32"/>
        </w:rPr>
      </w:pPr>
      <w:r>
        <w:rPr>
          <w:rFonts w:ascii="仿宋_GB2312" w:eastAsia="仿宋_GB2312" w:hAnsi="微软雅黑" w:hint="eastAsia"/>
          <w:sz w:val="32"/>
          <w:szCs w:val="32"/>
        </w:rPr>
        <w:t>城区采用分类定级的方法确定土地级别，</w:t>
      </w:r>
      <w:r>
        <w:rPr>
          <w:rFonts w:ascii="仿宋_GB2312" w:eastAsia="仿宋_GB2312" w:hAnsi="微软雅黑"/>
          <w:sz w:val="32"/>
          <w:szCs w:val="32"/>
        </w:rPr>
        <w:t>商业服务业</w:t>
      </w:r>
      <w:r>
        <w:rPr>
          <w:rFonts w:ascii="仿宋_GB2312" w:eastAsia="仿宋_GB2312" w:hAnsi="微软雅黑" w:hint="eastAsia"/>
          <w:sz w:val="32"/>
          <w:szCs w:val="32"/>
        </w:rPr>
        <w:t>用地</w:t>
      </w:r>
      <w:r>
        <w:rPr>
          <w:rFonts w:ascii="仿宋_GB2312" w:eastAsia="仿宋_GB2312" w:hAnsi="微软雅黑"/>
          <w:sz w:val="32"/>
          <w:szCs w:val="32"/>
        </w:rPr>
        <w:t>、城</w:t>
      </w:r>
      <w:r w:rsidRPr="00BA0621">
        <w:rPr>
          <w:rFonts w:ascii="仿宋_GB2312" w:eastAsia="仿宋_GB2312" w:hAnsi="微软雅黑"/>
          <w:sz w:val="32"/>
          <w:szCs w:val="32"/>
        </w:rPr>
        <w:t>镇住宅</w:t>
      </w:r>
      <w:r w:rsidRPr="00BA0621">
        <w:rPr>
          <w:rFonts w:ascii="仿宋_GB2312" w:eastAsia="仿宋_GB2312" w:hAnsi="微软雅黑" w:hint="eastAsia"/>
          <w:sz w:val="32"/>
          <w:szCs w:val="32"/>
        </w:rPr>
        <w:t>用地</w:t>
      </w:r>
      <w:r w:rsidRPr="00BA0621">
        <w:rPr>
          <w:rFonts w:ascii="仿宋_GB2312" w:eastAsia="仿宋_GB2312" w:hAnsi="微软雅黑"/>
          <w:sz w:val="32"/>
          <w:szCs w:val="32"/>
        </w:rPr>
        <w:t>、公共管理与公共服务用地</w:t>
      </w:r>
      <w:r w:rsidRPr="00BA0621">
        <w:rPr>
          <w:rFonts w:ascii="仿宋_GB2312" w:eastAsia="仿宋_GB2312" w:hAnsi="微软雅黑" w:hint="eastAsia"/>
          <w:sz w:val="32"/>
          <w:szCs w:val="32"/>
        </w:rPr>
        <w:t>均</w:t>
      </w:r>
      <w:r w:rsidRPr="00BA0621">
        <w:rPr>
          <w:rFonts w:ascii="仿宋_GB2312" w:eastAsia="仿宋_GB2312" w:hAnsi="微软雅黑"/>
          <w:sz w:val="32"/>
          <w:szCs w:val="32"/>
        </w:rPr>
        <w:t>划分</w:t>
      </w:r>
      <w:r w:rsidRPr="00BA0621">
        <w:rPr>
          <w:rFonts w:ascii="仿宋_GB2312" w:eastAsia="仿宋_GB2312" w:hAnsi="微软雅黑" w:hint="eastAsia"/>
          <w:sz w:val="32"/>
          <w:szCs w:val="32"/>
        </w:rPr>
        <w:t>4个级别，</w:t>
      </w:r>
      <w:r w:rsidRPr="00BA0621">
        <w:rPr>
          <w:rFonts w:ascii="仿宋_GB2312" w:eastAsia="仿宋_GB2312" w:hAnsi="微软雅黑"/>
          <w:sz w:val="32"/>
          <w:szCs w:val="32"/>
        </w:rPr>
        <w:t>工业用地</w:t>
      </w:r>
      <w:r w:rsidRPr="00BA0621">
        <w:rPr>
          <w:rFonts w:ascii="仿宋_GB2312" w:eastAsia="仿宋_GB2312" w:hAnsi="微软雅黑" w:hint="eastAsia"/>
          <w:sz w:val="32"/>
          <w:szCs w:val="32"/>
        </w:rPr>
        <w:t>划分了工业限制区，限制区内划分为两个级别，限制区外划分为三个级别。</w:t>
      </w:r>
    </w:p>
    <w:p w:rsidR="0027182E" w:rsidRDefault="00007471">
      <w:pPr>
        <w:spacing w:after="0"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1、商业服务业用地</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一级地：东到青草河-汶阳大街-万福南路，南到东升街，西到凤阳南路，北到鲁中西大街、胜利北路加油站-工人文化宫-电业局-十七中北界-长勺路-龙潭</w:t>
      </w:r>
      <w:r>
        <w:rPr>
          <w:rFonts w:ascii="仿宋_GB2312" w:eastAsia="仿宋_GB2312" w:hint="eastAsia"/>
          <w:sz w:val="32"/>
          <w:szCs w:val="32"/>
        </w:rPr>
        <w:t>大街。一级</w:t>
      </w:r>
      <w:r>
        <w:rPr>
          <w:rFonts w:ascii="仿宋_GB2312" w:eastAsia="仿宋_GB2312" w:hint="eastAsia"/>
          <w:color w:val="000000" w:themeColor="text1"/>
          <w:sz w:val="32"/>
          <w:szCs w:val="32"/>
        </w:rPr>
        <w:t>地面积为6.51平方公里。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级地：分为两部分，西片东到万福北路-龙潭东大街-大桥路沿街楼-大桥社区-石油公司-鲁中东大街-莲河-孝义河，南到孝义河-汶河，西到胜利北路-汶源西大街-北坦北路-凤城西大街-新甫南路，北到嬴牟大街-信誉楼；东片东到孝义河，南到苍龙泉大街，西到原山北路-名嘉广场北界-马鞍山路，北到汶水</w:t>
      </w:r>
      <w:r>
        <w:rPr>
          <w:rFonts w:ascii="仿宋_GB2312" w:eastAsia="仿宋_GB2312" w:hint="eastAsia"/>
          <w:sz w:val="32"/>
          <w:szCs w:val="32"/>
        </w:rPr>
        <w:t>大街。</w:t>
      </w:r>
      <w:r>
        <w:rPr>
          <w:rFonts w:ascii="仿宋_GB2312" w:eastAsia="仿宋_GB2312" w:hint="eastAsia"/>
          <w:color w:val="000000" w:themeColor="text1"/>
          <w:sz w:val="32"/>
          <w:szCs w:val="32"/>
        </w:rPr>
        <w:t>二级地面积为20.40平方公里。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级地：二级地边界以外，东到博莱高速公路，南到泰莱高速-汶河，西到鹿鸣路-鲁中西大街-西外环路，北到规划辛泰铁路-规划路-香山路-新兴路-莱芜职业技术学院；张家洼街道驻地东到西王善村，南到港里河，西到鹿鸣路，北到胜利路与长勺路交叉口-胜利路-</w:t>
      </w:r>
      <w:r>
        <w:rPr>
          <w:rFonts w:ascii="仿宋_GB2312" w:eastAsia="仿宋_GB2312" w:hint="eastAsia"/>
          <w:sz w:val="32"/>
          <w:szCs w:val="32"/>
        </w:rPr>
        <w:t>鲁矿大街。三级</w:t>
      </w:r>
      <w:r>
        <w:rPr>
          <w:rFonts w:ascii="仿宋_GB2312" w:eastAsia="仿宋_GB2312" w:hint="eastAsia"/>
          <w:color w:val="000000" w:themeColor="text1"/>
          <w:sz w:val="32"/>
          <w:szCs w:val="32"/>
        </w:rPr>
        <w:t>地面积为34.08平方公里。</w:t>
      </w:r>
    </w:p>
    <w:p w:rsidR="0027182E" w:rsidRDefault="00007471">
      <w:pPr>
        <w:spacing w:after="0" w:line="360" w:lineRule="auto"/>
        <w:ind w:firstLineChars="190" w:firstLine="608"/>
        <w:rPr>
          <w:rFonts w:ascii="仿宋_GB2312" w:eastAsia="仿宋_GB2312"/>
          <w:color w:val="000000" w:themeColor="text1"/>
          <w:sz w:val="32"/>
          <w:szCs w:val="32"/>
        </w:rPr>
      </w:pPr>
      <w:r>
        <w:rPr>
          <w:rFonts w:ascii="仿宋_GB2312" w:eastAsia="仿宋_GB2312" w:hint="eastAsia"/>
          <w:color w:val="000000" w:themeColor="text1"/>
          <w:sz w:val="32"/>
          <w:szCs w:val="32"/>
        </w:rPr>
        <w:t>四级地</w:t>
      </w:r>
      <w:r w:rsidR="00B86EC5">
        <w:rPr>
          <w:rFonts w:ascii="仿宋_GB2312" w:eastAsia="仿宋_GB2312" w:hint="eastAsia"/>
          <w:color w:val="000000" w:themeColor="text1"/>
          <w:sz w:val="32"/>
          <w:szCs w:val="32"/>
        </w:rPr>
        <w:t>为</w:t>
      </w:r>
      <w:r>
        <w:rPr>
          <w:rFonts w:ascii="仿宋_GB2312" w:eastAsia="仿宋_GB2312" w:hint="eastAsia"/>
          <w:color w:val="000000" w:themeColor="text1"/>
          <w:sz w:val="32"/>
          <w:szCs w:val="32"/>
        </w:rPr>
        <w:t>三级地边界外定级范围内的剩余</w:t>
      </w:r>
      <w:r>
        <w:rPr>
          <w:rFonts w:ascii="仿宋_GB2312" w:eastAsia="仿宋_GB2312" w:hint="eastAsia"/>
          <w:sz w:val="32"/>
          <w:szCs w:val="32"/>
        </w:rPr>
        <w:t>部分。四</w:t>
      </w:r>
      <w:r>
        <w:rPr>
          <w:rFonts w:ascii="仿宋_GB2312" w:eastAsia="仿宋_GB2312" w:hint="eastAsia"/>
          <w:color w:val="000000" w:themeColor="text1"/>
          <w:sz w:val="32"/>
          <w:szCs w:val="32"/>
        </w:rPr>
        <w:t>级地面积为</w:t>
      </w:r>
      <w:r>
        <w:rPr>
          <w:rFonts w:ascii="仿宋_GB2312" w:eastAsia="仿宋_GB2312" w:hint="eastAsia"/>
          <w:color w:val="000000" w:themeColor="text1"/>
          <w:sz w:val="32"/>
          <w:szCs w:val="32"/>
        </w:rPr>
        <w:lastRenderedPageBreak/>
        <w:t>71.25平方公里。</w:t>
      </w:r>
    </w:p>
    <w:p w:rsidR="0027182E" w:rsidRDefault="00007471">
      <w:pPr>
        <w:spacing w:after="0" w:line="360" w:lineRule="auto"/>
        <w:ind w:firstLineChars="190" w:firstLine="608"/>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2、城镇住宅用地</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一级地：东到青草河-汶阳大街-万福南路，南到东升街，西到胜利路-龙潭大街-长勺路，北到嬴牟</w:t>
      </w:r>
      <w:r>
        <w:rPr>
          <w:rFonts w:ascii="仿宋_GB2312" w:eastAsia="仿宋_GB2312" w:hint="eastAsia"/>
          <w:sz w:val="32"/>
          <w:szCs w:val="32"/>
        </w:rPr>
        <w:t>大街。</w:t>
      </w:r>
      <w:r>
        <w:rPr>
          <w:rFonts w:ascii="仿宋_GB2312" w:eastAsia="仿宋_GB2312" w:hint="eastAsia"/>
          <w:color w:val="000000" w:themeColor="text1"/>
          <w:sz w:val="32"/>
          <w:szCs w:val="32"/>
        </w:rPr>
        <w:t>一级地面积为9.37平方公里。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级地：位于一级地范围外，东到凤起玉鸣-星河城-博莱高速-苍龙泉大街-孝义河-莲河大街-云台山路-汶河大街-衡山路，南到泰莱高速-汶河北岸，西到北坦北路-凤城西大街-西秀大街-新甫南路，北到辛泰铁路-原山路-辛泰铁路-马鞍山路-汶水</w:t>
      </w:r>
      <w:r>
        <w:rPr>
          <w:rFonts w:ascii="仿宋_GB2312" w:eastAsia="仿宋_GB2312" w:hint="eastAsia"/>
          <w:sz w:val="32"/>
          <w:szCs w:val="32"/>
        </w:rPr>
        <w:t>大街。</w:t>
      </w:r>
      <w:r>
        <w:rPr>
          <w:rFonts w:ascii="仿宋_GB2312" w:eastAsia="仿宋_GB2312" w:hint="eastAsia"/>
          <w:color w:val="000000" w:themeColor="text1"/>
          <w:sz w:val="32"/>
          <w:szCs w:val="32"/>
        </w:rPr>
        <w:t>二级地面积为28.21平方公里。</w:t>
      </w:r>
    </w:p>
    <w:p w:rsidR="0027182E" w:rsidRDefault="00007471">
      <w:pPr>
        <w:spacing w:after="0" w:line="360" w:lineRule="auto"/>
        <w:ind w:firstLineChars="200" w:firstLine="640"/>
        <w:rPr>
          <w:rFonts w:ascii="仿宋_GB2312" w:eastAsia="仿宋_GB2312"/>
          <w:sz w:val="32"/>
          <w:szCs w:val="32"/>
        </w:rPr>
      </w:pPr>
      <w:r>
        <w:rPr>
          <w:rFonts w:ascii="仿宋_GB2312" w:eastAsia="仿宋_GB2312" w:hint="eastAsia"/>
          <w:sz w:val="32"/>
          <w:szCs w:val="32"/>
        </w:rPr>
        <w:t>三级地：二级地范围以外，东到博莱高速公路，南到泰莱高速公路，西到鹿鸣路-鲁中西大街-西外环路，北到辛泰铁路-山财大街-大桥北路-规划新兴路；张家洼街道驻地部分东到西王善村，南到港里河，西到鹿鸣路，北到胜利路与长勺路交叉口-胜利路-鲁矿大街。三级地面积为25.28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四级地</w:t>
      </w:r>
      <w:r w:rsidR="00B86EC5">
        <w:rPr>
          <w:rFonts w:ascii="仿宋_GB2312" w:eastAsia="仿宋_GB2312" w:hint="eastAsia"/>
          <w:color w:val="000000" w:themeColor="text1"/>
          <w:sz w:val="32"/>
          <w:szCs w:val="32"/>
        </w:rPr>
        <w:t>为</w:t>
      </w:r>
      <w:r>
        <w:rPr>
          <w:rFonts w:ascii="仿宋_GB2312" w:eastAsia="仿宋_GB2312" w:hint="eastAsia"/>
          <w:color w:val="000000" w:themeColor="text1"/>
          <w:sz w:val="32"/>
          <w:szCs w:val="32"/>
        </w:rPr>
        <w:t>三级地范围外定级范围内的剩余</w:t>
      </w:r>
      <w:r>
        <w:rPr>
          <w:rFonts w:ascii="仿宋_GB2312" w:eastAsia="仿宋_GB2312" w:hint="eastAsia"/>
          <w:sz w:val="32"/>
          <w:szCs w:val="32"/>
        </w:rPr>
        <w:t>部分。四</w:t>
      </w:r>
      <w:r>
        <w:rPr>
          <w:rFonts w:ascii="仿宋_GB2312" w:eastAsia="仿宋_GB2312" w:hint="eastAsia"/>
          <w:color w:val="000000" w:themeColor="text1"/>
          <w:sz w:val="32"/>
          <w:szCs w:val="32"/>
        </w:rPr>
        <w:t>级地面积为</w:t>
      </w:r>
      <w:r>
        <w:rPr>
          <w:rFonts w:ascii="仿宋_GB2312" w:eastAsia="仿宋_GB2312" w:hint="eastAsia"/>
          <w:sz w:val="32"/>
          <w:szCs w:val="32"/>
        </w:rPr>
        <w:t>69.38平方公里</w:t>
      </w:r>
      <w:r>
        <w:rPr>
          <w:rFonts w:ascii="仿宋_GB2312" w:eastAsia="仿宋_GB2312" w:hint="eastAsia"/>
          <w:color w:val="000000" w:themeColor="text1"/>
          <w:sz w:val="32"/>
          <w:szCs w:val="32"/>
        </w:rPr>
        <w:t>。</w:t>
      </w:r>
    </w:p>
    <w:p w:rsidR="0027182E" w:rsidRDefault="00007471">
      <w:pPr>
        <w:spacing w:after="0"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3、工业用地</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传统的工业用途土地定级中，往往将城区内部土地区位条件优越的区域划分为工业用地的高级别范围。可是根据工业用途土地的定级因素，该部分区域由于规划限制、交通管制、环境因素限制等客观因素的影响，已经不适于作为工业用地继续使用。其土地价</w:t>
      </w:r>
      <w:r>
        <w:rPr>
          <w:rFonts w:ascii="仿宋_GB2312" w:eastAsia="仿宋_GB2312" w:hint="eastAsia"/>
          <w:color w:val="000000" w:themeColor="text1"/>
          <w:sz w:val="32"/>
          <w:szCs w:val="32"/>
        </w:rPr>
        <w:lastRenderedPageBreak/>
        <w:t>格的实现主要是受到未来可改变用途使用的潜在影响，土地价格实现时比城市周边区域的工业用地价格要高。近几年，该部分区域内产生的工业用地价格主要服务于旧城区的改造和土地收购储备的经济行为。因此，在基准地价更新过程中，工业用地的定级应适时提出“工业限制区”的概念，在城市规划执行严格的城区，将按照规划不适合进行工业用地布置的区域划定为“工业限制区”，不参与工业用地的定级。莱芜区工业限制区内根据其区位条件的差异划分为两个级别。</w:t>
      </w:r>
    </w:p>
    <w:p w:rsidR="0027182E" w:rsidRDefault="00007471">
      <w:pPr>
        <w:spacing w:after="0" w:line="360" w:lineRule="auto"/>
        <w:ind w:firstLineChars="200" w:firstLine="640"/>
        <w:rPr>
          <w:rFonts w:ascii="仿宋_GB2312" w:eastAsia="仿宋_GB2312"/>
          <w:sz w:val="32"/>
          <w:szCs w:val="32"/>
        </w:rPr>
      </w:pPr>
      <w:r>
        <w:rPr>
          <w:rFonts w:ascii="仿宋_GB2312" w:eastAsia="仿宋_GB2312" w:hint="eastAsia"/>
          <w:color w:val="000000" w:themeColor="text1"/>
          <w:sz w:val="32"/>
          <w:szCs w:val="32"/>
        </w:rPr>
        <w:t>工业限制区一级地：东到青草河-凤城东大街-文化南路，南到东升街，西到凤阳南路，北到鲁中西大街、胜利北路加油站-工人文化宫-电业局-十七中北界、鲁中东大街-公园路-汶源东大</w:t>
      </w:r>
      <w:r>
        <w:rPr>
          <w:rFonts w:ascii="仿宋_GB2312" w:eastAsia="仿宋_GB2312" w:hint="eastAsia"/>
          <w:sz w:val="32"/>
          <w:szCs w:val="32"/>
        </w:rPr>
        <w:t>街。工业限制区一级地面积为4.25平方公里。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sz w:val="32"/>
          <w:szCs w:val="32"/>
        </w:rPr>
        <w:t>工业限制</w:t>
      </w:r>
      <w:r>
        <w:rPr>
          <w:rFonts w:ascii="仿宋_GB2312" w:eastAsia="仿宋_GB2312" w:hint="eastAsia"/>
          <w:color w:val="000000" w:themeColor="text1"/>
          <w:sz w:val="32"/>
          <w:szCs w:val="32"/>
        </w:rPr>
        <w:t>区二级地：东到万福北路-龙潭东大街-大桥路，南到汶河大道，西到胜利北路-汶源西大街-北坦路-凤城西大街-新甫南路，北到嬴牟</w:t>
      </w:r>
      <w:r>
        <w:rPr>
          <w:rFonts w:ascii="仿宋_GB2312" w:eastAsia="仿宋_GB2312" w:hint="eastAsia"/>
          <w:sz w:val="32"/>
          <w:szCs w:val="32"/>
        </w:rPr>
        <w:t>大街。工</w:t>
      </w:r>
      <w:r>
        <w:rPr>
          <w:rFonts w:ascii="仿宋_GB2312" w:eastAsia="仿宋_GB2312" w:hint="eastAsia"/>
          <w:color w:val="000000" w:themeColor="text1"/>
          <w:sz w:val="32"/>
          <w:szCs w:val="32"/>
        </w:rPr>
        <w:t>业限制区二级地面积为12.33平方公里。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工业一级地：东到博莱高速，南到泰莱高速-凤凰南路-孝义河-汇源大街，西到大桥路，北到鲁中大街-大崮山路</w:t>
      </w:r>
      <w:r>
        <w:rPr>
          <w:rFonts w:ascii="仿宋_GB2312" w:eastAsia="仿宋_GB2312" w:hint="eastAsia"/>
          <w:sz w:val="32"/>
          <w:szCs w:val="32"/>
        </w:rPr>
        <w:t>-磁莱铁路。</w:t>
      </w:r>
      <w:r>
        <w:rPr>
          <w:rFonts w:ascii="仿宋_GB2312" w:eastAsia="仿宋_GB2312" w:hint="eastAsia"/>
          <w:color w:val="000000" w:themeColor="text1"/>
          <w:sz w:val="32"/>
          <w:szCs w:val="32"/>
        </w:rPr>
        <w:t>工业一级地面积为</w:t>
      </w:r>
      <w:r>
        <w:rPr>
          <w:rFonts w:ascii="仿宋_GB2312" w:eastAsia="仿宋_GB2312" w:hint="eastAsia"/>
          <w:sz w:val="32"/>
          <w:szCs w:val="32"/>
        </w:rPr>
        <w:t>8.84平方公里</w:t>
      </w:r>
      <w:r>
        <w:rPr>
          <w:rFonts w:ascii="仿宋_GB2312" w:eastAsia="仿宋_GB2312" w:hint="eastAsia"/>
          <w:color w:val="000000" w:themeColor="text1"/>
          <w:sz w:val="32"/>
          <w:szCs w:val="32"/>
        </w:rPr>
        <w:t>。</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工业二级地：东到博莱高速，南到汶河-汶河大道，西到西外环路，北到北外环路-北坦北路-辛泰铁路-山财大街-规划路-新兴路，张家洼街道部分东到西王善村，南到港里河，西到鹿鸣路，北到胜利路与长勺路交叉口-胜利路-鲁矿</w:t>
      </w:r>
      <w:r>
        <w:rPr>
          <w:rFonts w:ascii="仿宋_GB2312" w:eastAsia="仿宋_GB2312" w:hint="eastAsia"/>
          <w:sz w:val="32"/>
          <w:szCs w:val="32"/>
        </w:rPr>
        <w:t>大街。工业</w:t>
      </w:r>
      <w:r>
        <w:rPr>
          <w:rFonts w:ascii="仿宋_GB2312" w:eastAsia="仿宋_GB2312" w:hint="eastAsia"/>
          <w:color w:val="000000" w:themeColor="text1"/>
          <w:sz w:val="32"/>
          <w:szCs w:val="32"/>
        </w:rPr>
        <w:t>二级地面积为</w:t>
      </w:r>
      <w:r>
        <w:rPr>
          <w:rFonts w:ascii="仿宋_GB2312" w:eastAsia="仿宋_GB2312" w:hint="eastAsia"/>
          <w:sz w:val="32"/>
          <w:szCs w:val="32"/>
        </w:rPr>
        <w:t>41.39</w:t>
      </w:r>
      <w:r>
        <w:rPr>
          <w:rFonts w:ascii="仿宋_GB2312" w:eastAsia="仿宋_GB2312" w:hint="eastAsia"/>
          <w:sz w:val="32"/>
          <w:szCs w:val="32"/>
        </w:rPr>
        <w:lastRenderedPageBreak/>
        <w:t>平方公里</w:t>
      </w:r>
      <w:r>
        <w:rPr>
          <w:rFonts w:ascii="仿宋_GB2312" w:eastAsia="仿宋_GB2312" w:hint="eastAsia"/>
          <w:color w:val="000000" w:themeColor="text1"/>
          <w:sz w:val="32"/>
          <w:szCs w:val="32"/>
        </w:rPr>
        <w:t>。</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工业三级地</w:t>
      </w:r>
      <w:r w:rsidR="00904A9E">
        <w:rPr>
          <w:rFonts w:ascii="仿宋_GB2312" w:eastAsia="仿宋_GB2312" w:hint="eastAsia"/>
          <w:color w:val="000000" w:themeColor="text1"/>
          <w:sz w:val="32"/>
          <w:szCs w:val="32"/>
        </w:rPr>
        <w:t>为</w:t>
      </w:r>
      <w:r>
        <w:rPr>
          <w:rFonts w:ascii="仿宋_GB2312" w:eastAsia="仿宋_GB2312" w:hint="eastAsia"/>
          <w:color w:val="000000" w:themeColor="text1"/>
          <w:sz w:val="32"/>
          <w:szCs w:val="32"/>
        </w:rPr>
        <w:t>工业二级地边界以外定级范围内的剩余</w:t>
      </w:r>
      <w:r>
        <w:rPr>
          <w:rFonts w:ascii="仿宋_GB2312" w:eastAsia="仿宋_GB2312" w:hint="eastAsia"/>
          <w:sz w:val="32"/>
          <w:szCs w:val="32"/>
        </w:rPr>
        <w:t>部分。</w:t>
      </w:r>
      <w:r>
        <w:rPr>
          <w:rFonts w:ascii="仿宋_GB2312" w:eastAsia="仿宋_GB2312" w:hint="eastAsia"/>
          <w:color w:val="000000" w:themeColor="text1"/>
          <w:sz w:val="32"/>
          <w:szCs w:val="32"/>
        </w:rPr>
        <w:t>工业三级地面积为</w:t>
      </w:r>
      <w:r>
        <w:rPr>
          <w:rFonts w:ascii="仿宋_GB2312" w:eastAsia="仿宋_GB2312" w:hint="eastAsia"/>
          <w:sz w:val="32"/>
          <w:szCs w:val="32"/>
        </w:rPr>
        <w:t>65.43平方公里</w:t>
      </w:r>
      <w:r>
        <w:rPr>
          <w:rFonts w:ascii="仿宋_GB2312" w:eastAsia="仿宋_GB2312" w:hint="eastAsia"/>
          <w:color w:val="000000" w:themeColor="text1"/>
          <w:sz w:val="32"/>
          <w:szCs w:val="32"/>
        </w:rPr>
        <w:t>。</w:t>
      </w:r>
    </w:p>
    <w:p w:rsidR="0027182E" w:rsidRDefault="00007471">
      <w:pPr>
        <w:spacing w:after="0"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4、公共管理与公共服务用地</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一级地：东到花园路，南到凤城大街，西到胜利路-呈瑞大街-长勺路，北到莲河</w:t>
      </w:r>
      <w:r>
        <w:rPr>
          <w:rFonts w:ascii="仿宋_GB2312" w:eastAsia="仿宋_GB2312" w:hint="eastAsia"/>
          <w:sz w:val="32"/>
          <w:szCs w:val="32"/>
        </w:rPr>
        <w:t>公园。一</w:t>
      </w:r>
      <w:r>
        <w:rPr>
          <w:rFonts w:ascii="仿宋_GB2312" w:eastAsia="仿宋_GB2312" w:hint="eastAsia"/>
          <w:color w:val="000000" w:themeColor="text1"/>
          <w:sz w:val="32"/>
          <w:szCs w:val="32"/>
        </w:rPr>
        <w:t>级地面积为5.25平方公里。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级地：位于一级地范围外，东到凤起玉鸣-星河城-博莱高速-苍龙泉大街-孝义河-莲河大街-云台山路-汶河大街-衡山路，南到泰莱高速-汶河北岸，西到北坦北路-凤城西大街-西秀大街-新甫南路，北到辛泰铁路-原山路-辛泰铁路-银河</w:t>
      </w:r>
      <w:r>
        <w:rPr>
          <w:rFonts w:ascii="仿宋_GB2312" w:eastAsia="仿宋_GB2312" w:hint="eastAsia"/>
          <w:sz w:val="32"/>
          <w:szCs w:val="32"/>
        </w:rPr>
        <w:t>大街。二</w:t>
      </w:r>
      <w:r>
        <w:rPr>
          <w:rFonts w:ascii="仿宋_GB2312" w:eastAsia="仿宋_GB2312" w:hint="eastAsia"/>
          <w:color w:val="000000" w:themeColor="text1"/>
          <w:sz w:val="32"/>
          <w:szCs w:val="32"/>
        </w:rPr>
        <w:t>级地面积为31.59平方公里。</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级地：二级地范围以外，东到博莱高速公路，南到泰莱高速公路-汶河大道，西到鹿鸣路-鲁中西大街-西外环路，北到辛泰铁路-大桥北路-山财大街-规划新兴路-凤凰路-京沪高速；张家洼街道驻地部分东到西王善村，南到港里河，西到鹿鸣路，北到胜利路与长勺路交叉口-胜利路-鲁</w:t>
      </w:r>
      <w:r>
        <w:rPr>
          <w:rFonts w:ascii="仿宋_GB2312" w:eastAsia="仿宋_GB2312" w:hint="eastAsia"/>
          <w:sz w:val="32"/>
          <w:szCs w:val="32"/>
        </w:rPr>
        <w:t>矿大街。三级</w:t>
      </w:r>
      <w:r>
        <w:rPr>
          <w:rFonts w:ascii="仿宋_GB2312" w:eastAsia="仿宋_GB2312" w:hint="eastAsia"/>
          <w:color w:val="000000" w:themeColor="text1"/>
          <w:sz w:val="32"/>
          <w:szCs w:val="32"/>
        </w:rPr>
        <w:t>地面积为</w:t>
      </w:r>
      <w:r>
        <w:rPr>
          <w:rFonts w:ascii="仿宋_GB2312" w:eastAsia="仿宋_GB2312" w:hint="eastAsia"/>
          <w:sz w:val="32"/>
          <w:szCs w:val="32"/>
        </w:rPr>
        <w:t>30.83平方公里</w:t>
      </w:r>
      <w:r>
        <w:rPr>
          <w:rFonts w:ascii="仿宋_GB2312" w:eastAsia="仿宋_GB2312" w:hint="eastAsia"/>
          <w:color w:val="000000" w:themeColor="text1"/>
          <w:sz w:val="32"/>
          <w:szCs w:val="32"/>
        </w:rPr>
        <w:t>。</w:t>
      </w:r>
    </w:p>
    <w:p w:rsidR="0027182E" w:rsidRDefault="00007471">
      <w:pPr>
        <w:spacing w:after="0"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四级地</w:t>
      </w:r>
      <w:r w:rsidR="00904A9E">
        <w:rPr>
          <w:rFonts w:ascii="仿宋_GB2312" w:eastAsia="仿宋_GB2312" w:hint="eastAsia"/>
          <w:color w:val="000000" w:themeColor="text1"/>
          <w:sz w:val="32"/>
          <w:szCs w:val="32"/>
        </w:rPr>
        <w:t>为</w:t>
      </w:r>
      <w:r>
        <w:rPr>
          <w:rFonts w:ascii="仿宋_GB2312" w:eastAsia="仿宋_GB2312" w:hint="eastAsia"/>
          <w:color w:val="000000" w:themeColor="text1"/>
          <w:sz w:val="32"/>
          <w:szCs w:val="32"/>
        </w:rPr>
        <w:t>三级地范围外定级范围内的剩余部</w:t>
      </w:r>
      <w:r>
        <w:rPr>
          <w:rFonts w:ascii="仿宋_GB2312" w:eastAsia="仿宋_GB2312" w:hint="eastAsia"/>
          <w:sz w:val="32"/>
          <w:szCs w:val="32"/>
        </w:rPr>
        <w:t>分。</w:t>
      </w:r>
      <w:r>
        <w:rPr>
          <w:rFonts w:ascii="仿宋_GB2312" w:eastAsia="仿宋_GB2312" w:hint="eastAsia"/>
          <w:color w:val="000000" w:themeColor="text1"/>
          <w:sz w:val="32"/>
          <w:szCs w:val="32"/>
        </w:rPr>
        <w:t>四级地面积为</w:t>
      </w:r>
      <w:r>
        <w:rPr>
          <w:rFonts w:ascii="仿宋_GB2312" w:eastAsia="仿宋_GB2312" w:hint="eastAsia"/>
          <w:sz w:val="32"/>
          <w:szCs w:val="32"/>
        </w:rPr>
        <w:t>64.57平方公里</w:t>
      </w:r>
      <w:r>
        <w:rPr>
          <w:rFonts w:ascii="仿宋_GB2312" w:eastAsia="仿宋_GB2312" w:hint="eastAsia"/>
          <w:color w:val="000000" w:themeColor="text1"/>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（二）各建制街道（镇）</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建制街道（镇）采用综合定级的方法确定的土地级别，各建制街道（镇）均划分为两个土地级别，各建制街道（镇）一级地基本分布于建成区和繁华程度较高、配套成熟的区域，社区和配套沿街</w:t>
      </w:r>
      <w:r>
        <w:rPr>
          <w:rFonts w:ascii="仿宋_GB2312" w:eastAsia="仿宋_GB2312" w:hAnsi="微软雅黑" w:hint="eastAsia"/>
          <w:sz w:val="32"/>
          <w:szCs w:val="32"/>
        </w:rPr>
        <w:lastRenderedPageBreak/>
        <w:t>商业较为发达，各类公服设施集聚程度高，外围二级地以工业项目集中区为主，各建制街道（镇）土地级别面积如表2。</w:t>
      </w:r>
    </w:p>
    <w:p w:rsidR="0027182E" w:rsidRDefault="00007471">
      <w:pPr>
        <w:pStyle w:val="a7"/>
        <w:shd w:val="clear" w:color="auto" w:fill="FFFFFF"/>
        <w:spacing w:before="0" w:beforeAutospacing="0" w:after="0" w:afterAutospacing="0"/>
        <w:jc w:val="center"/>
        <w:rPr>
          <w:rFonts w:ascii="仿宋_GB2312" w:eastAsia="仿宋_GB2312" w:hAnsi="微软雅黑"/>
          <w:sz w:val="32"/>
          <w:szCs w:val="32"/>
        </w:rPr>
      </w:pPr>
      <w:r>
        <w:rPr>
          <w:rFonts w:ascii="仿宋_GB2312" w:eastAsia="仿宋_GB2312" w:hAnsi="微软雅黑" w:hint="eastAsia"/>
          <w:sz w:val="32"/>
          <w:szCs w:val="32"/>
        </w:rPr>
        <w:t>表2  济南市莱芜区建制街道（镇）各土地级别面积表</w:t>
      </w:r>
    </w:p>
    <w:p w:rsidR="0027182E" w:rsidRDefault="00007471">
      <w:pPr>
        <w:pStyle w:val="a7"/>
        <w:shd w:val="clear" w:color="auto" w:fill="FFFFFF"/>
        <w:spacing w:before="0" w:beforeAutospacing="0" w:after="0" w:afterAutospacing="0"/>
        <w:jc w:val="right"/>
        <w:rPr>
          <w:rFonts w:ascii="仿宋_GB2312" w:eastAsia="仿宋_GB2312" w:hAnsi="微软雅黑"/>
          <w:b/>
          <w:bCs/>
          <w:sz w:val="21"/>
          <w:szCs w:val="21"/>
        </w:rPr>
      </w:pPr>
      <w:r>
        <w:rPr>
          <w:rFonts w:ascii="仿宋_GB2312" w:eastAsia="仿宋_GB2312" w:hAnsi="微软雅黑" w:hint="eastAsia"/>
          <w:b/>
          <w:bCs/>
          <w:sz w:val="21"/>
          <w:szCs w:val="21"/>
        </w:rPr>
        <w:t>面积单位：平方公里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2"/>
        <w:gridCol w:w="2284"/>
        <w:gridCol w:w="2284"/>
        <w:gridCol w:w="2284"/>
      </w:tblGrid>
      <w:tr w:rsidR="0027182E">
        <w:trPr>
          <w:trHeight w:val="454"/>
          <w:tblHeader/>
          <w:jc w:val="center"/>
        </w:trPr>
        <w:tc>
          <w:tcPr>
            <w:tcW w:w="2568" w:type="dxa"/>
            <w:shd w:val="clear" w:color="auto" w:fill="auto"/>
            <w:noWrap/>
            <w:vAlign w:val="center"/>
          </w:tcPr>
          <w:p w:rsidR="0027182E" w:rsidRDefault="00007471">
            <w:pPr>
              <w:widowControl/>
              <w:jc w:val="center"/>
              <w:rPr>
                <w:rFonts w:ascii="仿宋_GB2312" w:eastAsia="仿宋_GB2312" w:hAnsi="宋体" w:cs="宋体"/>
                <w:b/>
                <w:bCs/>
                <w:kern w:val="0"/>
                <w:sz w:val="21"/>
                <w:szCs w:val="21"/>
              </w:rPr>
            </w:pPr>
            <w:r>
              <w:rPr>
                <w:rFonts w:ascii="仿宋_GB2312" w:eastAsia="仿宋_GB2312" w:hAnsi="宋体" w:cs="宋体" w:hint="eastAsia"/>
                <w:b/>
                <w:bCs/>
                <w:kern w:val="0"/>
                <w:sz w:val="21"/>
                <w:szCs w:val="21"/>
              </w:rPr>
              <w:t>评价区</w:t>
            </w:r>
          </w:p>
        </w:tc>
        <w:tc>
          <w:tcPr>
            <w:tcW w:w="2202" w:type="dxa"/>
            <w:shd w:val="clear" w:color="auto" w:fill="auto"/>
            <w:noWrap/>
            <w:vAlign w:val="center"/>
          </w:tcPr>
          <w:p w:rsidR="0027182E" w:rsidRDefault="00007471">
            <w:pPr>
              <w:widowControl/>
              <w:jc w:val="center"/>
              <w:rPr>
                <w:rFonts w:ascii="仿宋_GB2312" w:eastAsia="仿宋_GB2312" w:hAnsi="宋体" w:cs="宋体"/>
                <w:b/>
                <w:bCs/>
                <w:kern w:val="0"/>
                <w:sz w:val="21"/>
                <w:szCs w:val="21"/>
              </w:rPr>
            </w:pPr>
            <w:r>
              <w:rPr>
                <w:rFonts w:ascii="仿宋_GB2312" w:eastAsia="仿宋_GB2312" w:hAnsi="宋体" w:cs="宋体" w:hint="eastAsia"/>
                <w:b/>
                <w:bCs/>
                <w:kern w:val="0"/>
                <w:sz w:val="21"/>
                <w:szCs w:val="21"/>
              </w:rPr>
              <w:t>一级</w:t>
            </w:r>
          </w:p>
        </w:tc>
        <w:tc>
          <w:tcPr>
            <w:tcW w:w="2202" w:type="dxa"/>
            <w:shd w:val="clear" w:color="auto" w:fill="auto"/>
            <w:noWrap/>
            <w:vAlign w:val="center"/>
          </w:tcPr>
          <w:p w:rsidR="0027182E" w:rsidRDefault="00007471">
            <w:pPr>
              <w:widowControl/>
              <w:jc w:val="center"/>
              <w:rPr>
                <w:rFonts w:ascii="仿宋_GB2312" w:eastAsia="仿宋_GB2312" w:hAnsi="宋体" w:cs="宋体"/>
                <w:b/>
                <w:bCs/>
                <w:kern w:val="0"/>
                <w:sz w:val="21"/>
                <w:szCs w:val="21"/>
              </w:rPr>
            </w:pPr>
            <w:r>
              <w:rPr>
                <w:rFonts w:ascii="仿宋_GB2312" w:eastAsia="仿宋_GB2312" w:hAnsi="宋体" w:cs="宋体" w:hint="eastAsia"/>
                <w:b/>
                <w:bCs/>
                <w:kern w:val="0"/>
                <w:sz w:val="21"/>
                <w:szCs w:val="21"/>
              </w:rPr>
              <w:t>二级</w:t>
            </w:r>
          </w:p>
        </w:tc>
        <w:tc>
          <w:tcPr>
            <w:tcW w:w="2202" w:type="dxa"/>
            <w:shd w:val="clear" w:color="auto" w:fill="auto"/>
            <w:noWrap/>
            <w:vAlign w:val="center"/>
          </w:tcPr>
          <w:p w:rsidR="0027182E" w:rsidRDefault="00007471">
            <w:pPr>
              <w:widowControl/>
              <w:jc w:val="center"/>
              <w:rPr>
                <w:rFonts w:ascii="仿宋_GB2312" w:eastAsia="仿宋_GB2312" w:hAnsi="宋体" w:cs="宋体"/>
                <w:b/>
                <w:bCs/>
                <w:kern w:val="0"/>
                <w:sz w:val="21"/>
                <w:szCs w:val="21"/>
              </w:rPr>
            </w:pPr>
            <w:r>
              <w:rPr>
                <w:rFonts w:ascii="仿宋_GB2312" w:eastAsia="仿宋_GB2312" w:hAnsi="宋体" w:cs="宋体" w:hint="eastAsia"/>
                <w:b/>
                <w:bCs/>
                <w:kern w:val="0"/>
                <w:sz w:val="21"/>
                <w:szCs w:val="21"/>
              </w:rPr>
              <w:t>合计</w:t>
            </w:r>
          </w:p>
        </w:tc>
      </w:tr>
      <w:tr w:rsidR="0027182E">
        <w:trPr>
          <w:trHeight w:val="630"/>
          <w:jc w:val="center"/>
        </w:trPr>
        <w:tc>
          <w:tcPr>
            <w:tcW w:w="2568" w:type="dxa"/>
            <w:shd w:val="clear" w:color="auto" w:fill="auto"/>
            <w:noWrap/>
            <w:vAlign w:val="center"/>
          </w:tcPr>
          <w:p w:rsidR="0027182E" w:rsidRDefault="0000747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雪野旅游区</w:t>
            </w:r>
          </w:p>
          <w:p w:rsidR="0027182E" w:rsidRDefault="00007471">
            <w:pPr>
              <w:spacing w:after="0" w:line="240" w:lineRule="auto"/>
              <w:jc w:val="center"/>
              <w:rPr>
                <w:rFonts w:ascii="仿宋_GB2312" w:eastAsia="仿宋_GB2312" w:hAnsi="宋体" w:cs="宋体"/>
                <w:color w:val="000000"/>
                <w:sz w:val="21"/>
                <w:szCs w:val="21"/>
              </w:rPr>
            </w:pPr>
            <w:r>
              <w:rPr>
                <w:rFonts w:ascii="仿宋_GB2312" w:eastAsia="仿宋_GB2312" w:hint="eastAsia"/>
                <w:color w:val="000000"/>
                <w:sz w:val="21"/>
                <w:szCs w:val="21"/>
              </w:rPr>
              <w:t>（雪野街道）</w:t>
            </w:r>
          </w:p>
        </w:tc>
        <w:tc>
          <w:tcPr>
            <w:tcW w:w="2202" w:type="dxa"/>
            <w:shd w:val="clear" w:color="auto" w:fill="auto"/>
            <w:noWrap/>
            <w:vAlign w:val="center"/>
          </w:tcPr>
          <w:p w:rsidR="0027182E" w:rsidRDefault="00007471">
            <w:pPr>
              <w:jc w:val="center"/>
              <w:rPr>
                <w:rFonts w:ascii="仿宋_GB2312" w:eastAsia="仿宋_GB2312" w:hAnsi="宋体"/>
                <w:color w:val="000000"/>
                <w:sz w:val="21"/>
                <w:szCs w:val="21"/>
              </w:rPr>
            </w:pPr>
            <w:r>
              <w:rPr>
                <w:rFonts w:ascii="仿宋_GB2312" w:eastAsia="仿宋_GB2312" w:hAnsi="宋体" w:hint="eastAsia"/>
                <w:color w:val="000000"/>
                <w:sz w:val="21"/>
                <w:szCs w:val="21"/>
              </w:rPr>
              <w:t>11.36</w:t>
            </w:r>
          </w:p>
        </w:tc>
        <w:tc>
          <w:tcPr>
            <w:tcW w:w="2202" w:type="dxa"/>
            <w:shd w:val="clear" w:color="auto" w:fill="auto"/>
            <w:noWrap/>
            <w:vAlign w:val="center"/>
          </w:tcPr>
          <w:p w:rsidR="0027182E" w:rsidRDefault="00007471">
            <w:pPr>
              <w:jc w:val="center"/>
              <w:rPr>
                <w:rFonts w:ascii="仿宋_GB2312" w:eastAsia="仿宋_GB2312" w:hAnsi="宋体"/>
                <w:color w:val="000000"/>
                <w:sz w:val="21"/>
                <w:szCs w:val="21"/>
              </w:rPr>
            </w:pPr>
            <w:r>
              <w:rPr>
                <w:rFonts w:ascii="仿宋_GB2312" w:eastAsia="仿宋_GB2312" w:hAnsi="宋体" w:hint="eastAsia"/>
                <w:color w:val="000000"/>
                <w:sz w:val="21"/>
                <w:szCs w:val="21"/>
              </w:rPr>
              <w:t>25.11</w:t>
            </w:r>
          </w:p>
        </w:tc>
        <w:tc>
          <w:tcPr>
            <w:tcW w:w="2202" w:type="dxa"/>
            <w:shd w:val="clear" w:color="auto" w:fill="auto"/>
            <w:noWrap/>
            <w:vAlign w:val="center"/>
          </w:tcPr>
          <w:p w:rsidR="0027182E" w:rsidRDefault="00007471">
            <w:pPr>
              <w:jc w:val="center"/>
              <w:rPr>
                <w:rFonts w:ascii="仿宋_GB2312" w:eastAsia="仿宋_GB2312" w:hAnsi="宋体" w:cs="宋体"/>
                <w:color w:val="000000"/>
                <w:kern w:val="0"/>
                <w:sz w:val="21"/>
                <w:szCs w:val="21"/>
              </w:rPr>
            </w:pPr>
            <w:r>
              <w:rPr>
                <w:rFonts w:ascii="仿宋_GB2312" w:eastAsia="仿宋_GB2312" w:hAnsi="宋体" w:cs="宋体" w:hint="eastAsia"/>
                <w:color w:val="000000"/>
                <w:kern w:val="0"/>
                <w:sz w:val="21"/>
                <w:szCs w:val="21"/>
              </w:rPr>
              <w:t>36.47</w:t>
            </w:r>
          </w:p>
        </w:tc>
      </w:tr>
      <w:tr w:rsidR="0027182E" w:rsidTr="00BA0621">
        <w:trPr>
          <w:trHeight w:val="455"/>
          <w:jc w:val="center"/>
        </w:trPr>
        <w:tc>
          <w:tcPr>
            <w:tcW w:w="2568" w:type="dxa"/>
            <w:shd w:val="clear" w:color="auto" w:fill="auto"/>
            <w:noWrap/>
            <w:vAlign w:val="center"/>
          </w:tcPr>
          <w:p w:rsidR="00BA0621" w:rsidRPr="00BA0621" w:rsidRDefault="00007471" w:rsidP="00BA062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高庄街道</w:t>
            </w:r>
          </w:p>
        </w:tc>
        <w:tc>
          <w:tcPr>
            <w:tcW w:w="2202" w:type="dxa"/>
            <w:shd w:val="clear" w:color="auto" w:fill="auto"/>
            <w:noWrap/>
            <w:vAlign w:val="center"/>
          </w:tcPr>
          <w:p w:rsidR="0027182E" w:rsidRPr="00BA0621" w:rsidRDefault="00007471" w:rsidP="00BA0621">
            <w:pPr>
              <w:spacing w:after="0" w:line="240" w:lineRule="auto"/>
              <w:jc w:val="center"/>
              <w:rPr>
                <w:rFonts w:ascii="仿宋_GB2312" w:eastAsia="仿宋_GB2312"/>
                <w:color w:val="000000"/>
                <w:sz w:val="21"/>
                <w:szCs w:val="21"/>
              </w:rPr>
            </w:pPr>
            <w:r w:rsidRPr="00BA0621">
              <w:rPr>
                <w:rFonts w:ascii="仿宋_GB2312" w:eastAsia="仿宋_GB2312" w:hint="eastAsia"/>
                <w:color w:val="000000"/>
                <w:sz w:val="21"/>
                <w:szCs w:val="21"/>
              </w:rPr>
              <w:t>0.77</w:t>
            </w:r>
          </w:p>
        </w:tc>
        <w:tc>
          <w:tcPr>
            <w:tcW w:w="2202" w:type="dxa"/>
            <w:shd w:val="clear" w:color="auto" w:fill="auto"/>
            <w:noWrap/>
            <w:vAlign w:val="center"/>
          </w:tcPr>
          <w:p w:rsidR="0027182E" w:rsidRPr="00BA0621" w:rsidRDefault="00007471" w:rsidP="00BA0621">
            <w:pPr>
              <w:spacing w:after="0" w:line="240" w:lineRule="auto"/>
              <w:jc w:val="center"/>
              <w:rPr>
                <w:rFonts w:ascii="仿宋_GB2312" w:eastAsia="仿宋_GB2312"/>
                <w:color w:val="000000"/>
                <w:sz w:val="21"/>
                <w:szCs w:val="21"/>
              </w:rPr>
            </w:pPr>
            <w:r w:rsidRPr="00BA0621">
              <w:rPr>
                <w:rFonts w:ascii="仿宋_GB2312" w:eastAsia="仿宋_GB2312" w:hint="eastAsia"/>
                <w:color w:val="000000"/>
                <w:sz w:val="21"/>
                <w:szCs w:val="21"/>
              </w:rPr>
              <w:t>4.77</w:t>
            </w:r>
          </w:p>
        </w:tc>
        <w:tc>
          <w:tcPr>
            <w:tcW w:w="2202" w:type="dxa"/>
            <w:shd w:val="clear" w:color="auto" w:fill="auto"/>
            <w:noWrap/>
            <w:vAlign w:val="center"/>
          </w:tcPr>
          <w:p w:rsidR="0027182E" w:rsidRPr="00BA0621" w:rsidRDefault="00007471" w:rsidP="00BA0621">
            <w:pPr>
              <w:spacing w:after="0" w:line="240" w:lineRule="auto"/>
              <w:jc w:val="center"/>
              <w:rPr>
                <w:rFonts w:ascii="仿宋_GB2312" w:eastAsia="仿宋_GB2312"/>
                <w:color w:val="000000"/>
                <w:sz w:val="21"/>
                <w:szCs w:val="21"/>
              </w:rPr>
            </w:pPr>
            <w:r w:rsidRPr="00BA0621">
              <w:rPr>
                <w:rFonts w:ascii="仿宋_GB2312" w:eastAsia="仿宋_GB2312" w:hint="eastAsia"/>
                <w:color w:val="000000"/>
                <w:sz w:val="21"/>
                <w:szCs w:val="21"/>
              </w:rPr>
              <w:t>5.54</w:t>
            </w:r>
          </w:p>
        </w:tc>
      </w:tr>
      <w:tr w:rsidR="0027182E">
        <w:trPr>
          <w:trHeight w:val="454"/>
          <w:jc w:val="center"/>
        </w:trPr>
        <w:tc>
          <w:tcPr>
            <w:tcW w:w="2568" w:type="dxa"/>
            <w:shd w:val="clear" w:color="auto" w:fill="auto"/>
            <w:noWrap/>
            <w:vAlign w:val="center"/>
          </w:tcPr>
          <w:p w:rsidR="0027182E" w:rsidRDefault="0000747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口镇街道</w:t>
            </w:r>
          </w:p>
        </w:tc>
        <w:tc>
          <w:tcPr>
            <w:tcW w:w="2202" w:type="dxa"/>
            <w:shd w:val="clear" w:color="auto" w:fill="auto"/>
            <w:noWrap/>
            <w:vAlign w:val="center"/>
          </w:tcPr>
          <w:p w:rsidR="0027182E" w:rsidRDefault="0000747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5.64</w:t>
            </w:r>
          </w:p>
        </w:tc>
        <w:tc>
          <w:tcPr>
            <w:tcW w:w="2202" w:type="dxa"/>
            <w:shd w:val="clear" w:color="auto" w:fill="auto"/>
            <w:noWrap/>
            <w:vAlign w:val="center"/>
          </w:tcPr>
          <w:p w:rsidR="0027182E" w:rsidRDefault="0000747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31.67</w:t>
            </w:r>
          </w:p>
        </w:tc>
        <w:tc>
          <w:tcPr>
            <w:tcW w:w="2202" w:type="dxa"/>
            <w:shd w:val="clear" w:color="auto" w:fill="auto"/>
            <w:noWrap/>
            <w:vAlign w:val="center"/>
          </w:tcPr>
          <w:p w:rsidR="0027182E" w:rsidRDefault="00007471">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37.31</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羊里街道</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1.40</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7.67</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9.07</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方下街道</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1.04</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8.69</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9.73</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牛泉镇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0.45</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3.39</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3.84</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苗山镇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0.61</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2.36</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2.97</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大王庄镇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0.79</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1.71</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2.50</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寨里镇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0.47</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2.55</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3.02</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杨庄镇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0.76</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5.15</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5.91</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茶业口镇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0.13</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0.63</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0.76</w:t>
            </w:r>
          </w:p>
        </w:tc>
      </w:tr>
      <w:tr w:rsidR="0027182E">
        <w:trPr>
          <w:trHeight w:val="454"/>
          <w:jc w:val="center"/>
        </w:trPr>
        <w:tc>
          <w:tcPr>
            <w:tcW w:w="2568"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Pr>
                <w:rFonts w:ascii="仿宋_GB2312" w:eastAsia="仿宋_GB2312" w:hint="eastAsia"/>
                <w:color w:val="000000"/>
                <w:sz w:val="21"/>
                <w:szCs w:val="21"/>
              </w:rPr>
              <w:t>和庄镇</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0.25</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1.13</w:t>
            </w:r>
          </w:p>
        </w:tc>
        <w:tc>
          <w:tcPr>
            <w:tcW w:w="2202" w:type="dxa"/>
            <w:shd w:val="clear" w:color="auto" w:fill="auto"/>
            <w:noWrap/>
            <w:vAlign w:val="center"/>
          </w:tcPr>
          <w:p w:rsidR="0027182E" w:rsidRPr="00327E92" w:rsidRDefault="00007471" w:rsidP="00327E92">
            <w:pPr>
              <w:spacing w:after="0" w:line="240" w:lineRule="auto"/>
              <w:jc w:val="center"/>
              <w:rPr>
                <w:rFonts w:ascii="仿宋_GB2312" w:eastAsia="仿宋_GB2312"/>
                <w:color w:val="000000"/>
                <w:sz w:val="21"/>
                <w:szCs w:val="21"/>
              </w:rPr>
            </w:pPr>
            <w:r w:rsidRPr="00327E92">
              <w:rPr>
                <w:rFonts w:ascii="仿宋_GB2312" w:eastAsia="仿宋_GB2312" w:hint="eastAsia"/>
                <w:color w:val="000000"/>
                <w:sz w:val="21"/>
                <w:szCs w:val="21"/>
              </w:rPr>
              <w:t>1.38</w:t>
            </w:r>
          </w:p>
        </w:tc>
      </w:tr>
    </w:tbl>
    <w:p w:rsidR="0027182E" w:rsidRDefault="00007471">
      <w:pPr>
        <w:pStyle w:val="a7"/>
        <w:shd w:val="clear" w:color="auto" w:fill="FFFFFF"/>
        <w:spacing w:before="0" w:beforeAutospacing="0" w:after="0" w:afterAutospacing="0"/>
        <w:ind w:firstLineChars="200" w:firstLine="640"/>
        <w:rPr>
          <w:rStyle w:val="a9"/>
          <w:rFonts w:ascii="微软雅黑" w:eastAsia="微软雅黑" w:hAnsi="微软雅黑"/>
          <w:sz w:val="32"/>
          <w:szCs w:val="32"/>
        </w:rPr>
      </w:pPr>
      <w:r>
        <w:rPr>
          <w:rStyle w:val="a9"/>
          <w:rFonts w:ascii="微软雅黑" w:eastAsia="微软雅黑" w:hAnsi="微软雅黑" w:hint="eastAsia"/>
          <w:sz w:val="32"/>
          <w:szCs w:val="32"/>
        </w:rPr>
        <w:t>四、基准地价更新结果</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（一）城区</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1、基准地价内涵</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（1）土地用途划分以下四类：</w:t>
      </w:r>
      <w:r>
        <w:rPr>
          <w:rFonts w:ascii="仿宋_GB2312" w:eastAsia="仿宋_GB2312" w:hAnsi="微软雅黑"/>
          <w:sz w:val="32"/>
          <w:szCs w:val="32"/>
        </w:rPr>
        <w:t>商业服务业用地</w:t>
      </w:r>
      <w:r>
        <w:rPr>
          <w:rFonts w:ascii="仿宋_GB2312" w:eastAsia="仿宋_GB2312" w:hAnsi="微软雅黑" w:hint="eastAsia"/>
          <w:sz w:val="32"/>
          <w:szCs w:val="32"/>
        </w:rPr>
        <w:t>、</w:t>
      </w:r>
      <w:r>
        <w:rPr>
          <w:rFonts w:ascii="仿宋_GB2312" w:eastAsia="仿宋_GB2312" w:hAnsi="微软雅黑"/>
          <w:sz w:val="32"/>
          <w:szCs w:val="32"/>
        </w:rPr>
        <w:t>城镇住宅用地、工业用地</w:t>
      </w:r>
      <w:r>
        <w:rPr>
          <w:rFonts w:ascii="仿宋_GB2312" w:eastAsia="仿宋_GB2312" w:hAnsi="微软雅黑" w:hint="eastAsia"/>
          <w:sz w:val="32"/>
          <w:szCs w:val="32"/>
        </w:rPr>
        <w:t>、</w:t>
      </w:r>
      <w:r>
        <w:rPr>
          <w:rFonts w:ascii="仿宋_GB2312" w:eastAsia="仿宋_GB2312" w:hAnsi="微软雅黑"/>
          <w:sz w:val="32"/>
          <w:szCs w:val="32"/>
        </w:rPr>
        <w:t>公共管理与公共服务用地</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（2）开发程度</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商业服务业用地、城镇住宅用地、公共管理与公共服务用地一、二级地，工业用地工业限制区开发程度为“七通一平”（通路、通</w:t>
      </w:r>
      <w:r>
        <w:rPr>
          <w:rFonts w:ascii="仿宋_GB2312" w:eastAsia="仿宋_GB2312" w:hAnsi="微软雅黑" w:hint="eastAsia"/>
          <w:sz w:val="32"/>
          <w:szCs w:val="32"/>
        </w:rPr>
        <w:lastRenderedPageBreak/>
        <w:t>电、供水、排水、通讯、供暖、供气及场地内土地平整），其他级别均为“五通一平”（通路、通电、供水、排水、通讯及场地内土地平整）。</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（3）使用年期</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商业服务业用地</w:t>
      </w:r>
      <w:r>
        <w:rPr>
          <w:rFonts w:ascii="仿宋_GB2312" w:eastAsia="仿宋_GB2312" w:hAnsi="微软雅黑"/>
          <w:sz w:val="32"/>
          <w:szCs w:val="32"/>
        </w:rPr>
        <w:t>40年</w:t>
      </w:r>
      <w:r>
        <w:rPr>
          <w:rFonts w:ascii="仿宋_GB2312" w:eastAsia="仿宋_GB2312" w:hAnsi="微软雅黑" w:hint="eastAsia"/>
          <w:sz w:val="32"/>
          <w:szCs w:val="32"/>
        </w:rPr>
        <w:t>、</w:t>
      </w:r>
      <w:r>
        <w:rPr>
          <w:rFonts w:ascii="仿宋_GB2312" w:eastAsia="仿宋_GB2312" w:hAnsi="微软雅黑"/>
          <w:sz w:val="32"/>
          <w:szCs w:val="32"/>
        </w:rPr>
        <w:t>城镇住宅用地70年</w:t>
      </w:r>
      <w:r>
        <w:rPr>
          <w:rFonts w:ascii="仿宋_GB2312" w:eastAsia="仿宋_GB2312" w:hAnsi="微软雅黑" w:hint="eastAsia"/>
          <w:sz w:val="32"/>
          <w:szCs w:val="32"/>
        </w:rPr>
        <w:t>、</w:t>
      </w:r>
      <w:r>
        <w:rPr>
          <w:rFonts w:ascii="仿宋_GB2312" w:eastAsia="仿宋_GB2312" w:hAnsi="微软雅黑"/>
          <w:sz w:val="32"/>
          <w:szCs w:val="32"/>
        </w:rPr>
        <w:t>工业用地50年</w:t>
      </w:r>
      <w:r>
        <w:rPr>
          <w:rFonts w:ascii="仿宋_GB2312" w:eastAsia="仿宋_GB2312" w:hAnsi="微软雅黑" w:hint="eastAsia"/>
          <w:sz w:val="32"/>
          <w:szCs w:val="32"/>
        </w:rPr>
        <w:t>、</w:t>
      </w:r>
      <w:r>
        <w:rPr>
          <w:rFonts w:ascii="仿宋_GB2312" w:eastAsia="仿宋_GB2312" w:hAnsi="微软雅黑"/>
          <w:sz w:val="32"/>
          <w:szCs w:val="32"/>
        </w:rPr>
        <w:t>公共管理与公共服务用地50年</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（4）标准容积率</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sz w:val="32"/>
          <w:szCs w:val="32"/>
        </w:rPr>
        <w:t>商业服务业用地</w:t>
      </w:r>
      <w:r>
        <w:rPr>
          <w:rFonts w:ascii="仿宋_GB2312" w:eastAsia="仿宋_GB2312" w:hAnsi="微软雅黑" w:hint="eastAsia"/>
          <w:sz w:val="32"/>
          <w:szCs w:val="32"/>
        </w:rPr>
        <w:t>、</w:t>
      </w:r>
      <w:r>
        <w:rPr>
          <w:rFonts w:ascii="仿宋_GB2312" w:eastAsia="仿宋_GB2312" w:hAnsi="微软雅黑"/>
          <w:sz w:val="32"/>
          <w:szCs w:val="32"/>
        </w:rPr>
        <w:t>城镇住宅用地</w:t>
      </w:r>
      <w:r>
        <w:rPr>
          <w:rFonts w:ascii="仿宋_GB2312" w:eastAsia="仿宋_GB2312" w:hAnsi="微软雅黑" w:hint="eastAsia"/>
          <w:sz w:val="32"/>
          <w:szCs w:val="32"/>
        </w:rPr>
        <w:t>为1.5，</w:t>
      </w:r>
      <w:r>
        <w:rPr>
          <w:rFonts w:ascii="仿宋_GB2312" w:eastAsia="仿宋_GB2312" w:hAnsi="微软雅黑"/>
          <w:sz w:val="32"/>
          <w:szCs w:val="32"/>
        </w:rPr>
        <w:t>公共管理与公共服务用地</w:t>
      </w:r>
      <w:r>
        <w:rPr>
          <w:rFonts w:ascii="仿宋_GB2312" w:eastAsia="仿宋_GB2312" w:hAnsi="微软雅黑" w:hint="eastAsia"/>
          <w:sz w:val="32"/>
          <w:szCs w:val="32"/>
        </w:rPr>
        <w:t>为1.2，</w:t>
      </w:r>
      <w:r>
        <w:rPr>
          <w:rFonts w:ascii="仿宋_GB2312" w:eastAsia="仿宋_GB2312" w:hAnsi="微软雅黑"/>
          <w:sz w:val="32"/>
          <w:szCs w:val="32"/>
        </w:rPr>
        <w:t>工业用地</w:t>
      </w:r>
      <w:r w:rsidR="00327E92">
        <w:rPr>
          <w:rFonts w:ascii="仿宋_GB2312" w:eastAsia="仿宋_GB2312" w:hAnsi="微软雅黑" w:hint="eastAsia"/>
          <w:sz w:val="32"/>
          <w:szCs w:val="32"/>
        </w:rPr>
        <w:t>为</w:t>
      </w:r>
      <w:r>
        <w:rPr>
          <w:rFonts w:ascii="仿宋_GB2312" w:eastAsia="仿宋_GB2312" w:hAnsi="微软雅黑" w:hint="eastAsia"/>
          <w:sz w:val="32"/>
          <w:szCs w:val="32"/>
        </w:rPr>
        <w:t>1.0。</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（5）权利类型</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sz w:val="32"/>
          <w:szCs w:val="32"/>
        </w:rPr>
        <w:t>出让国有建设用地使用权价格</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2.基准地价表</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济南市莱芜区城区</w:t>
      </w:r>
      <w:r w:rsidR="00434E52">
        <w:rPr>
          <w:rFonts w:ascii="仿宋_GB2312" w:eastAsia="仿宋_GB2312" w:hAnsi="微软雅黑" w:hint="eastAsia"/>
          <w:sz w:val="32"/>
          <w:szCs w:val="32"/>
        </w:rPr>
        <w:t>各级别各用途</w:t>
      </w:r>
      <w:r>
        <w:rPr>
          <w:rFonts w:ascii="仿宋_GB2312" w:eastAsia="仿宋_GB2312" w:hAnsi="微软雅黑" w:hint="eastAsia"/>
          <w:sz w:val="32"/>
          <w:szCs w:val="32"/>
        </w:rPr>
        <w:t>基准地价如表3。</w:t>
      </w:r>
    </w:p>
    <w:p w:rsidR="0027182E" w:rsidRDefault="00007471" w:rsidP="00327E92">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表3  济南市莱芜区城区各级别各用途基准地价表</w:t>
      </w:r>
    </w:p>
    <w:tbl>
      <w:tblPr>
        <w:tblW w:w="5000" w:type="pct"/>
        <w:jc w:val="center"/>
        <w:tblLayout w:type="fixed"/>
        <w:tblLook w:val="04A0"/>
      </w:tblPr>
      <w:tblGrid>
        <w:gridCol w:w="815"/>
        <w:gridCol w:w="782"/>
        <w:gridCol w:w="782"/>
        <w:gridCol w:w="782"/>
        <w:gridCol w:w="781"/>
        <w:gridCol w:w="782"/>
        <w:gridCol w:w="782"/>
        <w:gridCol w:w="1002"/>
        <w:gridCol w:w="1002"/>
        <w:gridCol w:w="1002"/>
        <w:gridCol w:w="1002"/>
      </w:tblGrid>
      <w:tr w:rsidR="0027182E">
        <w:trPr>
          <w:trHeight w:val="49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土地级别</w:t>
            </w: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27E92"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商业服务业</w:t>
            </w:r>
          </w:p>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用地</w:t>
            </w: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城镇住宅用地</w:t>
            </w:r>
          </w:p>
        </w:tc>
        <w:tc>
          <w:tcPr>
            <w:tcW w:w="13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工业用地</w:t>
            </w:r>
          </w:p>
        </w:tc>
        <w:tc>
          <w:tcPr>
            <w:tcW w:w="3496" w:type="dxa"/>
            <w:gridSpan w:val="4"/>
            <w:tcBorders>
              <w:top w:val="single" w:sz="4" w:space="0" w:color="auto"/>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公共管理与公共服务用地</w:t>
            </w:r>
          </w:p>
        </w:tc>
      </w:tr>
      <w:tr w:rsidR="0027182E">
        <w:trPr>
          <w:trHeight w:val="991"/>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rPr>
                <w:rFonts w:ascii="仿宋_GB2312" w:eastAsia="仿宋_GB2312" w:hAnsiTheme="minorEastAsia" w:cs="宋体"/>
                <w:color w:val="000000" w:themeColor="text1"/>
                <w:kern w:val="0"/>
                <w:sz w:val="21"/>
                <w:szCs w:val="21"/>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rPr>
                <w:rFonts w:ascii="仿宋_GB2312" w:eastAsia="仿宋_GB2312" w:hAnsiTheme="minorEastAsia" w:cs="宋体"/>
                <w:color w:val="000000" w:themeColor="text1"/>
                <w:kern w:val="0"/>
                <w:sz w:val="21"/>
                <w:szCs w:val="21"/>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rPr>
                <w:rFonts w:ascii="仿宋_GB2312" w:eastAsia="仿宋_GB2312" w:hAnsiTheme="minorEastAsia" w:cs="宋体"/>
                <w:color w:val="000000" w:themeColor="text1"/>
                <w:kern w:val="0"/>
                <w:sz w:val="21"/>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rPr>
                <w:rFonts w:ascii="仿宋_GB2312" w:eastAsia="仿宋_GB2312" w:hAnsiTheme="minorEastAsia" w:cs="宋体"/>
                <w:color w:val="000000" w:themeColor="text1"/>
                <w:kern w:val="0"/>
                <w:sz w:val="21"/>
                <w:szCs w:val="21"/>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机关团体、新闻出版、文化设施用地、体育用地</w:t>
            </w: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科研用地、教育用地、医疗卫生用地、社会福利用地、公共设施用地、公园与绿地</w:t>
            </w:r>
          </w:p>
        </w:tc>
      </w:tr>
      <w:tr w:rsidR="0027182E">
        <w:trPr>
          <w:trHeight w:val="499"/>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rPr>
                <w:rFonts w:ascii="仿宋_GB2312" w:eastAsia="仿宋_GB2312" w:hAnsiTheme="minorEastAsia" w:cs="宋体"/>
                <w:color w:val="000000" w:themeColor="text1"/>
                <w:kern w:val="0"/>
                <w:sz w:val="21"/>
                <w:szCs w:val="21"/>
              </w:rPr>
            </w:pP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元/m</w:t>
            </w:r>
            <w:r>
              <w:rPr>
                <w:rFonts w:ascii="仿宋_GB2312" w:eastAsia="仿宋_GB2312" w:hAnsiTheme="minorEastAsia" w:cs="宋体" w:hint="eastAsia"/>
                <w:color w:val="000000" w:themeColor="text1"/>
                <w:kern w:val="0"/>
                <w:sz w:val="21"/>
                <w:szCs w:val="21"/>
                <w:vertAlign w:val="superscript"/>
              </w:rPr>
              <w:t>2</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万元/亩</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元/m</w:t>
            </w:r>
            <w:r>
              <w:rPr>
                <w:rFonts w:ascii="仿宋_GB2312" w:eastAsia="仿宋_GB2312" w:hAnsiTheme="minorEastAsia" w:cs="宋体" w:hint="eastAsia"/>
                <w:color w:val="000000" w:themeColor="text1"/>
                <w:kern w:val="0"/>
                <w:sz w:val="21"/>
                <w:szCs w:val="21"/>
                <w:vertAlign w:val="superscript"/>
              </w:rPr>
              <w:t>2</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万元/亩</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元/m</w:t>
            </w:r>
            <w:r>
              <w:rPr>
                <w:rFonts w:ascii="仿宋_GB2312" w:eastAsia="仿宋_GB2312" w:hAnsiTheme="minorEastAsia" w:cs="宋体" w:hint="eastAsia"/>
                <w:color w:val="000000" w:themeColor="text1"/>
                <w:kern w:val="0"/>
                <w:sz w:val="21"/>
                <w:szCs w:val="21"/>
                <w:vertAlign w:val="superscript"/>
              </w:rPr>
              <w:t>2</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万元/亩</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元/m</w:t>
            </w:r>
            <w:r>
              <w:rPr>
                <w:rFonts w:ascii="仿宋_GB2312" w:eastAsia="仿宋_GB2312" w:hAnsiTheme="minorEastAsia" w:cs="宋体" w:hint="eastAsia"/>
                <w:color w:val="000000" w:themeColor="text1"/>
                <w:kern w:val="0"/>
                <w:sz w:val="21"/>
                <w:szCs w:val="21"/>
                <w:vertAlign w:val="superscript"/>
              </w:rPr>
              <w:t>2</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万元/亩</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元/m</w:t>
            </w:r>
            <w:r>
              <w:rPr>
                <w:rFonts w:ascii="仿宋_GB2312" w:eastAsia="仿宋_GB2312" w:hAnsiTheme="minorEastAsia" w:cs="宋体" w:hint="eastAsia"/>
                <w:color w:val="000000" w:themeColor="text1"/>
                <w:kern w:val="0"/>
                <w:sz w:val="21"/>
                <w:szCs w:val="21"/>
                <w:vertAlign w:val="superscript"/>
              </w:rPr>
              <w:t>2</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万元/亩</w:t>
            </w:r>
          </w:p>
        </w:tc>
      </w:tr>
      <w:tr w:rsidR="0027182E">
        <w:trPr>
          <w:trHeight w:val="499"/>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一级</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2040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136</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2640</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176</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510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34</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1848</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123.2</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660</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44</w:t>
            </w:r>
          </w:p>
        </w:tc>
      </w:tr>
      <w:tr w:rsidR="0027182E">
        <w:trPr>
          <w:trHeight w:val="499"/>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二级</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1620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108</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2250</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150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495</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33</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1575</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105.0</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540</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36</w:t>
            </w:r>
          </w:p>
        </w:tc>
      </w:tr>
      <w:tr w:rsidR="0027182E">
        <w:trPr>
          <w:trHeight w:val="499"/>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三级</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1140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76</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1425</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95</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480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32</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998</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66.5</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510</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34</w:t>
            </w:r>
          </w:p>
        </w:tc>
      </w:tr>
      <w:tr w:rsidR="0027182E">
        <w:trPr>
          <w:trHeight w:val="499"/>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lastRenderedPageBreak/>
              <w:t>四级</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840</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56</w:t>
            </w:r>
          </w:p>
        </w:tc>
        <w:tc>
          <w:tcPr>
            <w:tcW w:w="682"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975</w:t>
            </w:r>
          </w:p>
        </w:tc>
        <w:tc>
          <w:tcPr>
            <w:tcW w:w="681" w:type="dxa"/>
            <w:tcBorders>
              <w:top w:val="nil"/>
              <w:left w:val="nil"/>
              <w:bottom w:val="single" w:sz="4" w:space="0" w:color="auto"/>
              <w:right w:val="single" w:sz="4" w:space="0" w:color="auto"/>
            </w:tcBorders>
            <w:shd w:val="clear" w:color="auto" w:fill="auto"/>
            <w:noWrap/>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65</w:t>
            </w:r>
          </w:p>
        </w:tc>
        <w:tc>
          <w:tcPr>
            <w:tcW w:w="682" w:type="dxa"/>
            <w:tcBorders>
              <w:top w:val="nil"/>
              <w:left w:val="nil"/>
              <w:bottom w:val="single" w:sz="4" w:space="0" w:color="auto"/>
              <w:right w:val="single" w:sz="4" w:space="0" w:color="auto"/>
            </w:tcBorders>
            <w:shd w:val="clear" w:color="auto" w:fill="auto"/>
            <w:noWrap/>
            <w:vAlign w:val="center"/>
          </w:tcPr>
          <w:p w:rsidR="0027182E" w:rsidRDefault="0027182E">
            <w:pPr>
              <w:widowControl/>
              <w:jc w:val="center"/>
              <w:rPr>
                <w:rFonts w:ascii="仿宋_GB2312" w:eastAsia="仿宋_GB2312" w:hAnsiTheme="minorEastAsia" w:cs="宋体"/>
                <w:color w:val="000000" w:themeColor="text1"/>
                <w:kern w:val="0"/>
                <w:sz w:val="21"/>
                <w:szCs w:val="21"/>
              </w:rPr>
            </w:pPr>
          </w:p>
        </w:tc>
        <w:tc>
          <w:tcPr>
            <w:tcW w:w="682" w:type="dxa"/>
            <w:tcBorders>
              <w:top w:val="nil"/>
              <w:left w:val="nil"/>
              <w:bottom w:val="single" w:sz="4" w:space="0" w:color="auto"/>
              <w:right w:val="single" w:sz="4" w:space="0" w:color="auto"/>
            </w:tcBorders>
            <w:shd w:val="clear" w:color="auto" w:fill="auto"/>
            <w:noWrap/>
            <w:vAlign w:val="center"/>
          </w:tcPr>
          <w:p w:rsidR="0027182E" w:rsidRDefault="0027182E">
            <w:pPr>
              <w:widowControl/>
              <w:jc w:val="center"/>
              <w:rPr>
                <w:rFonts w:ascii="仿宋_GB2312" w:eastAsia="仿宋_GB2312" w:hAnsiTheme="minorEastAsia" w:cs="宋体"/>
                <w:color w:val="000000" w:themeColor="text1"/>
                <w:kern w:val="0"/>
                <w:sz w:val="21"/>
                <w:szCs w:val="21"/>
              </w:rPr>
            </w:pP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683</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45.5</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480</w:t>
            </w:r>
          </w:p>
        </w:tc>
        <w:tc>
          <w:tcPr>
            <w:tcW w:w="874" w:type="dxa"/>
            <w:tcBorders>
              <w:top w:val="nil"/>
              <w:left w:val="nil"/>
              <w:bottom w:val="single" w:sz="4" w:space="0" w:color="auto"/>
              <w:right w:val="single" w:sz="4" w:space="0" w:color="auto"/>
            </w:tcBorders>
            <w:shd w:val="clear" w:color="auto" w:fill="auto"/>
            <w:vAlign w:val="center"/>
          </w:tcPr>
          <w:p w:rsidR="0027182E" w:rsidRDefault="00007471">
            <w:pPr>
              <w:widowControl/>
              <w:jc w:val="center"/>
              <w:rPr>
                <w:rFonts w:ascii="仿宋_GB2312" w:eastAsia="仿宋_GB2312" w:hAnsiTheme="minorEastAsia" w:cs="宋体"/>
                <w:color w:val="000000" w:themeColor="text1"/>
                <w:kern w:val="0"/>
                <w:sz w:val="21"/>
                <w:szCs w:val="21"/>
              </w:rPr>
            </w:pPr>
            <w:r>
              <w:rPr>
                <w:rFonts w:ascii="仿宋_GB2312" w:eastAsia="仿宋_GB2312" w:hAnsiTheme="minorEastAsia" w:cs="宋体" w:hint="eastAsia"/>
                <w:color w:val="000000" w:themeColor="text1"/>
                <w:kern w:val="0"/>
                <w:sz w:val="21"/>
                <w:szCs w:val="21"/>
              </w:rPr>
              <w:t>32</w:t>
            </w:r>
          </w:p>
        </w:tc>
      </w:tr>
    </w:tbl>
    <w:p w:rsidR="0027182E" w:rsidRDefault="00007471">
      <w:pPr>
        <w:pStyle w:val="a3"/>
        <w:adjustRightInd w:val="0"/>
        <w:snapToGrid w:val="0"/>
        <w:ind w:leftChars="-300" w:left="-660" w:rightChars="-300" w:right="-660" w:firstLineChars="400" w:firstLine="840"/>
        <w:jc w:val="left"/>
        <w:rPr>
          <w:rFonts w:ascii="仿宋_GB2312" w:eastAsia="仿宋_GB2312" w:hAnsi="Times New Roman"/>
          <w:color w:val="000000" w:themeColor="text1"/>
          <w:kern w:val="0"/>
          <w:szCs w:val="21"/>
        </w:rPr>
      </w:pPr>
      <w:r>
        <w:rPr>
          <w:rFonts w:ascii="仿宋_GB2312" w:eastAsia="仿宋_GB2312" w:hAnsi="Times New Roman" w:hint="eastAsia"/>
          <w:color w:val="000000" w:themeColor="text1"/>
          <w:kern w:val="0"/>
          <w:szCs w:val="21"/>
        </w:rPr>
        <w:t>注：工业限制区：</w:t>
      </w:r>
      <w:r>
        <w:rPr>
          <w:rFonts w:ascii="仿宋_GB2312" w:eastAsia="仿宋_GB2312" w:hAnsiTheme="minorEastAsia" w:hint="eastAsia"/>
          <w:kern w:val="0"/>
          <w:szCs w:val="21"/>
        </w:rPr>
        <w:t>一级地660元/平方米（44万元/亩），二级地540元/平方米（36万元/亩）。</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（二）建制街道（镇）</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1、基准地价内涵</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（1）土地用途划分以下四类：</w:t>
      </w:r>
      <w:r>
        <w:rPr>
          <w:rFonts w:ascii="仿宋_GB2312" w:eastAsia="仿宋_GB2312" w:hAnsi="微软雅黑"/>
          <w:sz w:val="32"/>
          <w:szCs w:val="32"/>
        </w:rPr>
        <w:t>商业服务业用地</w:t>
      </w:r>
      <w:r>
        <w:rPr>
          <w:rFonts w:ascii="仿宋_GB2312" w:eastAsia="仿宋_GB2312" w:hAnsi="微软雅黑" w:hint="eastAsia"/>
          <w:sz w:val="32"/>
          <w:szCs w:val="32"/>
        </w:rPr>
        <w:t>、</w:t>
      </w:r>
      <w:r>
        <w:rPr>
          <w:rFonts w:ascii="仿宋_GB2312" w:eastAsia="仿宋_GB2312" w:hAnsi="微软雅黑"/>
          <w:sz w:val="32"/>
          <w:szCs w:val="32"/>
        </w:rPr>
        <w:t>城镇住宅用地、工业用地</w:t>
      </w:r>
      <w:r>
        <w:rPr>
          <w:rFonts w:ascii="仿宋_GB2312" w:eastAsia="仿宋_GB2312" w:hAnsi="微软雅黑" w:hint="eastAsia"/>
          <w:sz w:val="32"/>
          <w:szCs w:val="32"/>
        </w:rPr>
        <w:t>、</w:t>
      </w:r>
      <w:r>
        <w:rPr>
          <w:rFonts w:ascii="仿宋_GB2312" w:eastAsia="仿宋_GB2312" w:hAnsi="微软雅黑"/>
          <w:sz w:val="32"/>
          <w:szCs w:val="32"/>
        </w:rPr>
        <w:t>公共管理与公共服务用地</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（2）开发程度</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土地开发程度均设定为“四</w:t>
      </w:r>
      <w:r>
        <w:rPr>
          <w:rFonts w:ascii="仿宋_GB2312" w:eastAsia="仿宋_GB2312" w:hAnsi="微软雅黑"/>
          <w:sz w:val="32"/>
          <w:szCs w:val="32"/>
        </w:rPr>
        <w:t>通一平</w:t>
      </w:r>
      <w:r>
        <w:rPr>
          <w:rFonts w:ascii="仿宋_GB2312" w:eastAsia="仿宋_GB2312" w:hAnsi="微软雅黑" w:hint="eastAsia"/>
          <w:sz w:val="32"/>
          <w:szCs w:val="32"/>
        </w:rPr>
        <w:t>”</w:t>
      </w:r>
      <w:r>
        <w:rPr>
          <w:rFonts w:ascii="仿宋_GB2312" w:eastAsia="仿宋_GB2312" w:hAnsi="微软雅黑"/>
          <w:sz w:val="32"/>
          <w:szCs w:val="32"/>
        </w:rPr>
        <w:t>（包括通路、供电、供水、通讯</w:t>
      </w:r>
      <w:r>
        <w:rPr>
          <w:rFonts w:ascii="仿宋_GB2312" w:eastAsia="仿宋_GB2312" w:hAnsi="微软雅黑" w:hint="eastAsia"/>
          <w:sz w:val="32"/>
          <w:szCs w:val="32"/>
        </w:rPr>
        <w:t>及</w:t>
      </w:r>
      <w:r>
        <w:rPr>
          <w:rFonts w:ascii="仿宋_GB2312" w:eastAsia="仿宋_GB2312" w:hAnsi="微软雅黑"/>
          <w:sz w:val="32"/>
          <w:szCs w:val="32"/>
        </w:rPr>
        <w:t>场地内土地平整）。</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（3）使用年期</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商业服务业用地</w:t>
      </w:r>
      <w:r>
        <w:rPr>
          <w:rFonts w:ascii="仿宋_GB2312" w:eastAsia="仿宋_GB2312" w:hAnsi="微软雅黑"/>
          <w:sz w:val="32"/>
          <w:szCs w:val="32"/>
        </w:rPr>
        <w:t>40年</w:t>
      </w:r>
      <w:r>
        <w:rPr>
          <w:rFonts w:ascii="仿宋_GB2312" w:eastAsia="仿宋_GB2312" w:hAnsi="微软雅黑" w:hint="eastAsia"/>
          <w:sz w:val="32"/>
          <w:szCs w:val="32"/>
        </w:rPr>
        <w:t>、</w:t>
      </w:r>
      <w:r>
        <w:rPr>
          <w:rFonts w:ascii="仿宋_GB2312" w:eastAsia="仿宋_GB2312" w:hAnsi="微软雅黑"/>
          <w:sz w:val="32"/>
          <w:szCs w:val="32"/>
        </w:rPr>
        <w:t>城镇住宅用地70年</w:t>
      </w:r>
      <w:r>
        <w:rPr>
          <w:rFonts w:ascii="仿宋_GB2312" w:eastAsia="仿宋_GB2312" w:hAnsi="微软雅黑" w:hint="eastAsia"/>
          <w:sz w:val="32"/>
          <w:szCs w:val="32"/>
        </w:rPr>
        <w:t>、</w:t>
      </w:r>
      <w:r>
        <w:rPr>
          <w:rFonts w:ascii="仿宋_GB2312" w:eastAsia="仿宋_GB2312" w:hAnsi="微软雅黑"/>
          <w:sz w:val="32"/>
          <w:szCs w:val="32"/>
        </w:rPr>
        <w:t>工业用地50年</w:t>
      </w:r>
      <w:r>
        <w:rPr>
          <w:rFonts w:ascii="仿宋_GB2312" w:eastAsia="仿宋_GB2312" w:hAnsi="微软雅黑" w:hint="eastAsia"/>
          <w:sz w:val="32"/>
          <w:szCs w:val="32"/>
        </w:rPr>
        <w:t>、</w:t>
      </w:r>
      <w:r>
        <w:rPr>
          <w:rFonts w:ascii="仿宋_GB2312" w:eastAsia="仿宋_GB2312" w:hAnsi="微软雅黑"/>
          <w:sz w:val="32"/>
          <w:szCs w:val="32"/>
        </w:rPr>
        <w:t>公共管理与公共服务用地50年</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（4）标准容积率</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sz w:val="32"/>
          <w:szCs w:val="32"/>
        </w:rPr>
        <w:t>商业服务业用地</w:t>
      </w:r>
      <w:r>
        <w:rPr>
          <w:rFonts w:ascii="仿宋_GB2312" w:eastAsia="仿宋_GB2312" w:hAnsi="微软雅黑" w:hint="eastAsia"/>
          <w:sz w:val="32"/>
          <w:szCs w:val="32"/>
        </w:rPr>
        <w:t>、</w:t>
      </w:r>
      <w:r>
        <w:rPr>
          <w:rFonts w:ascii="仿宋_GB2312" w:eastAsia="仿宋_GB2312" w:hAnsi="微软雅黑"/>
          <w:sz w:val="32"/>
          <w:szCs w:val="32"/>
        </w:rPr>
        <w:t>城镇住宅用地、公共管理与公共服务用地</w:t>
      </w:r>
      <w:r>
        <w:rPr>
          <w:rFonts w:ascii="仿宋_GB2312" w:eastAsia="仿宋_GB2312" w:hAnsi="微软雅黑" w:hint="eastAsia"/>
          <w:sz w:val="32"/>
          <w:szCs w:val="32"/>
        </w:rPr>
        <w:t>、</w:t>
      </w:r>
      <w:r>
        <w:rPr>
          <w:rFonts w:ascii="仿宋_GB2312" w:eastAsia="仿宋_GB2312" w:hAnsi="微软雅黑"/>
          <w:sz w:val="32"/>
          <w:szCs w:val="32"/>
        </w:rPr>
        <w:t>工业用地</w:t>
      </w:r>
      <w:r>
        <w:rPr>
          <w:rFonts w:ascii="仿宋_GB2312" w:eastAsia="仿宋_GB2312" w:hAnsi="微软雅黑" w:hint="eastAsia"/>
          <w:sz w:val="32"/>
          <w:szCs w:val="32"/>
        </w:rPr>
        <w:t>均为1.0。</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（5）权利类型</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sz w:val="32"/>
          <w:szCs w:val="32"/>
        </w:rPr>
        <w:t>出让国有建设用地使用权价格</w:t>
      </w:r>
      <w:r>
        <w:rPr>
          <w:rFonts w:ascii="仿宋_GB2312" w:eastAsia="仿宋_GB2312" w:hAnsi="微软雅黑" w:hint="eastAsia"/>
          <w:sz w:val="32"/>
          <w:szCs w:val="32"/>
        </w:rPr>
        <w:t>。</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2.基准地价表</w:t>
      </w:r>
    </w:p>
    <w:p w:rsidR="0027182E" w:rsidRDefault="00007471">
      <w:pPr>
        <w:pStyle w:val="a7"/>
        <w:shd w:val="clear" w:color="auto" w:fill="FFFFFF"/>
        <w:spacing w:before="0" w:beforeAutospacing="0" w:after="0" w:afterAutospacing="0"/>
        <w:ind w:firstLineChars="200" w:firstLine="640"/>
        <w:rPr>
          <w:rFonts w:ascii="仿宋_GB2312" w:eastAsia="仿宋_GB2312" w:hAnsi="微软雅黑"/>
          <w:sz w:val="32"/>
          <w:szCs w:val="32"/>
        </w:rPr>
      </w:pPr>
      <w:r>
        <w:rPr>
          <w:rFonts w:ascii="仿宋_GB2312" w:eastAsia="仿宋_GB2312" w:hAnsi="微软雅黑" w:hint="eastAsia"/>
          <w:sz w:val="32"/>
          <w:szCs w:val="32"/>
        </w:rPr>
        <w:t>济南市莱芜区各建制街道（镇）基准地价结果如表4。</w:t>
      </w:r>
    </w:p>
    <w:p w:rsidR="0027182E" w:rsidRDefault="0027182E">
      <w:pPr>
        <w:pStyle w:val="a7"/>
        <w:shd w:val="clear" w:color="auto" w:fill="FFFFFF"/>
        <w:spacing w:before="0" w:beforeAutospacing="0" w:after="0" w:afterAutospacing="0"/>
        <w:ind w:firstLineChars="200" w:firstLine="640"/>
        <w:rPr>
          <w:rFonts w:ascii="仿宋_GB2312" w:eastAsia="仿宋_GB2312" w:hAnsi="微软雅黑"/>
          <w:sz w:val="32"/>
          <w:szCs w:val="32"/>
        </w:rPr>
      </w:pPr>
    </w:p>
    <w:p w:rsidR="0027182E" w:rsidRDefault="0027182E">
      <w:pPr>
        <w:pStyle w:val="a7"/>
        <w:shd w:val="clear" w:color="auto" w:fill="FFFFFF"/>
        <w:spacing w:before="0" w:beforeAutospacing="0" w:after="0" w:afterAutospacing="0"/>
        <w:ind w:firstLineChars="200" w:firstLine="640"/>
        <w:rPr>
          <w:rFonts w:ascii="仿宋_GB2312" w:eastAsia="仿宋_GB2312" w:hAnsi="微软雅黑"/>
          <w:sz w:val="32"/>
          <w:szCs w:val="32"/>
        </w:rPr>
      </w:pPr>
    </w:p>
    <w:p w:rsidR="0027182E" w:rsidRDefault="0027182E">
      <w:pPr>
        <w:pStyle w:val="a7"/>
        <w:shd w:val="clear" w:color="auto" w:fill="FFFFFF"/>
        <w:spacing w:before="0" w:beforeAutospacing="0" w:after="0" w:afterAutospacing="0"/>
        <w:ind w:firstLineChars="200" w:firstLine="640"/>
        <w:rPr>
          <w:rFonts w:ascii="仿宋_GB2312" w:eastAsia="仿宋_GB2312" w:hAnsi="微软雅黑"/>
          <w:sz w:val="32"/>
          <w:szCs w:val="32"/>
        </w:rPr>
      </w:pPr>
    </w:p>
    <w:p w:rsidR="0027182E" w:rsidRDefault="0027182E" w:rsidP="008602EB">
      <w:pPr>
        <w:pStyle w:val="a7"/>
        <w:shd w:val="clear" w:color="auto" w:fill="FFFFFF"/>
        <w:spacing w:before="0" w:beforeAutospacing="0" w:after="0" w:afterAutospacing="0"/>
        <w:rPr>
          <w:rFonts w:ascii="仿宋_GB2312" w:eastAsia="仿宋_GB2312" w:hAnsi="微软雅黑"/>
          <w:sz w:val="32"/>
          <w:szCs w:val="32"/>
        </w:rPr>
        <w:sectPr w:rsidR="0027182E" w:rsidSect="00F1190C">
          <w:pgSz w:w="11906" w:h="16838"/>
          <w:pgMar w:top="1588" w:right="1304" w:bottom="1531" w:left="1304" w:header="851" w:footer="992" w:gutter="0"/>
          <w:cols w:space="425"/>
          <w:docGrid w:type="lines" w:linePitch="312"/>
        </w:sectPr>
      </w:pPr>
    </w:p>
    <w:p w:rsidR="0027182E" w:rsidRDefault="00007471" w:rsidP="00B86EC5">
      <w:pPr>
        <w:pStyle w:val="a3"/>
        <w:spacing w:afterLines="50" w:line="500" w:lineRule="exact"/>
        <w:jc w:val="center"/>
        <w:rPr>
          <w:rFonts w:ascii="Times New Roman" w:hAnsi="Times New Roman"/>
          <w:b/>
          <w:sz w:val="24"/>
          <w:szCs w:val="24"/>
        </w:rPr>
      </w:pPr>
      <w:r>
        <w:rPr>
          <w:rFonts w:ascii="Times New Roman" w:hAnsi="Times New Roman" w:hint="eastAsia"/>
          <w:b/>
          <w:sz w:val="24"/>
          <w:szCs w:val="24"/>
        </w:rPr>
        <w:lastRenderedPageBreak/>
        <w:t>表</w:t>
      </w:r>
      <w:r>
        <w:rPr>
          <w:rFonts w:ascii="Times New Roman" w:hAnsi="Times New Roman" w:hint="eastAsia"/>
          <w:b/>
          <w:sz w:val="24"/>
          <w:szCs w:val="24"/>
        </w:rPr>
        <w:t xml:space="preserve">4  </w:t>
      </w:r>
      <w:r>
        <w:rPr>
          <w:rFonts w:ascii="Times New Roman" w:hAnsi="Times New Roman" w:hint="eastAsia"/>
          <w:b/>
          <w:sz w:val="24"/>
          <w:szCs w:val="24"/>
        </w:rPr>
        <w:t>济南市莱芜区</w:t>
      </w:r>
      <w:r>
        <w:rPr>
          <w:rFonts w:ascii="Times New Roman" w:hAnsi="Times New Roman"/>
          <w:b/>
          <w:sz w:val="24"/>
          <w:szCs w:val="24"/>
        </w:rPr>
        <w:t>各建制</w:t>
      </w:r>
      <w:r>
        <w:rPr>
          <w:rFonts w:ascii="Times New Roman" w:hAnsi="Times New Roman" w:hint="eastAsia"/>
          <w:b/>
          <w:sz w:val="24"/>
          <w:szCs w:val="24"/>
        </w:rPr>
        <w:t>街道（</w:t>
      </w:r>
      <w:r>
        <w:rPr>
          <w:rFonts w:ascii="Times New Roman" w:hAnsi="Times New Roman"/>
          <w:b/>
          <w:sz w:val="24"/>
          <w:szCs w:val="24"/>
        </w:rPr>
        <w:t>镇</w:t>
      </w:r>
      <w:r>
        <w:rPr>
          <w:rFonts w:ascii="Times New Roman" w:hAnsi="Times New Roman" w:hint="eastAsia"/>
          <w:b/>
          <w:sz w:val="24"/>
          <w:szCs w:val="24"/>
        </w:rPr>
        <w:t>）</w:t>
      </w:r>
      <w:r>
        <w:rPr>
          <w:rFonts w:ascii="Times New Roman" w:hAnsi="Times New Roman"/>
          <w:b/>
          <w:sz w:val="24"/>
          <w:szCs w:val="24"/>
        </w:rPr>
        <w:t>基准地价结果表</w:t>
      </w:r>
    </w:p>
    <w:tbl>
      <w:tblPr>
        <w:tblW w:w="5149" w:type="pct"/>
        <w:jc w:val="center"/>
        <w:tblLook w:val="04A0"/>
      </w:tblPr>
      <w:tblGrid>
        <w:gridCol w:w="498"/>
        <w:gridCol w:w="1717"/>
        <w:gridCol w:w="573"/>
        <w:gridCol w:w="645"/>
        <w:gridCol w:w="573"/>
        <w:gridCol w:w="645"/>
        <w:gridCol w:w="573"/>
        <w:gridCol w:w="645"/>
        <w:gridCol w:w="573"/>
        <w:gridCol w:w="645"/>
        <w:gridCol w:w="573"/>
        <w:gridCol w:w="645"/>
        <w:gridCol w:w="573"/>
        <w:gridCol w:w="645"/>
        <w:gridCol w:w="607"/>
        <w:gridCol w:w="692"/>
        <w:gridCol w:w="639"/>
        <w:gridCol w:w="700"/>
        <w:gridCol w:w="602"/>
        <w:gridCol w:w="646"/>
        <w:gridCol w:w="544"/>
        <w:gridCol w:w="646"/>
      </w:tblGrid>
      <w:tr w:rsidR="0027182E">
        <w:trPr>
          <w:trHeight w:val="1409"/>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等别</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评价区</w:t>
            </w: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int="eastAsia"/>
                <w:sz w:val="21"/>
                <w:szCs w:val="21"/>
              </w:rPr>
              <w:t>商业服务业用地</w:t>
            </w: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int="eastAsia"/>
                <w:sz w:val="21"/>
                <w:szCs w:val="21"/>
              </w:rPr>
              <w:t>城镇住宅用地</w:t>
            </w: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int="eastAsia"/>
                <w:sz w:val="21"/>
                <w:szCs w:val="21"/>
              </w:rPr>
              <w:t>工业用地</w:t>
            </w:r>
          </w:p>
        </w:tc>
        <w:tc>
          <w:tcPr>
            <w:tcW w:w="2638" w:type="dxa"/>
            <w:gridSpan w:val="4"/>
            <w:tcBorders>
              <w:top w:val="single" w:sz="4" w:space="0" w:color="auto"/>
              <w:left w:val="nil"/>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公共管理与公共服务用地I（机关团体、新闻出版、文化设施用地、体育用地）</w:t>
            </w:r>
          </w:p>
        </w:tc>
        <w:tc>
          <w:tcPr>
            <w:tcW w:w="24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公共管理与公共服务用地II（科研用地、教育用地、医疗卫生用地、社会福利用地、公共设施用地、公园与绿地）</w:t>
            </w:r>
          </w:p>
        </w:tc>
      </w:tr>
      <w:tr w:rsidR="0027182E">
        <w:trPr>
          <w:trHeight w:val="319"/>
          <w:jc w:val="center"/>
        </w:trPr>
        <w:tc>
          <w:tcPr>
            <w:tcW w:w="498"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一级地</w:t>
            </w: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二级地</w:t>
            </w: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一级地</w:t>
            </w: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二级地</w:t>
            </w: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一级地</w:t>
            </w:r>
          </w:p>
        </w:tc>
        <w:tc>
          <w:tcPr>
            <w:tcW w:w="121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二级地</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一级地</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二级地</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一级地</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二级地</w:t>
            </w:r>
          </w:p>
        </w:tc>
      </w:tr>
      <w:tr w:rsidR="0027182E">
        <w:trPr>
          <w:trHeight w:val="319"/>
          <w:jc w:val="center"/>
        </w:trPr>
        <w:tc>
          <w:tcPr>
            <w:tcW w:w="498"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73"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5"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60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92"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639"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700"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602"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6"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c>
          <w:tcPr>
            <w:tcW w:w="544"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元/m</w:t>
            </w:r>
            <w:r>
              <w:rPr>
                <w:rFonts w:ascii="仿宋_GB2312" w:eastAsia="仿宋_GB2312" w:hAnsiTheme="minorEastAsia" w:cs="宋体" w:hint="eastAsia"/>
                <w:color w:val="000000"/>
                <w:kern w:val="0"/>
                <w:sz w:val="21"/>
                <w:szCs w:val="21"/>
                <w:vertAlign w:val="superscript"/>
              </w:rPr>
              <w:t>2</w:t>
            </w:r>
          </w:p>
        </w:tc>
        <w:tc>
          <w:tcPr>
            <w:tcW w:w="646"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万元/亩</w:t>
            </w:r>
          </w:p>
        </w:tc>
      </w:tr>
      <w:tr w:rsidR="0027182E">
        <w:trPr>
          <w:trHeight w:val="624"/>
          <w:jc w:val="center"/>
        </w:trPr>
        <w:tc>
          <w:tcPr>
            <w:tcW w:w="498" w:type="dxa"/>
            <w:vMerge w:val="restart"/>
            <w:tcBorders>
              <w:top w:val="nil"/>
              <w:left w:val="single" w:sz="4" w:space="0" w:color="auto"/>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一等</w:t>
            </w:r>
          </w:p>
        </w:tc>
        <w:tc>
          <w:tcPr>
            <w:tcW w:w="171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雪野旅游区（雪野街道）</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825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55.0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720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900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60.0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750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50.0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c>
          <w:tcPr>
            <w:tcW w:w="607"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630</w:t>
            </w:r>
          </w:p>
        </w:tc>
        <w:tc>
          <w:tcPr>
            <w:tcW w:w="69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42.0</w:t>
            </w:r>
          </w:p>
        </w:tc>
        <w:tc>
          <w:tcPr>
            <w:tcW w:w="639"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525</w:t>
            </w:r>
          </w:p>
        </w:tc>
        <w:tc>
          <w:tcPr>
            <w:tcW w:w="700"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35.0</w:t>
            </w:r>
          </w:p>
        </w:tc>
        <w:tc>
          <w:tcPr>
            <w:tcW w:w="60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44"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r>
      <w:tr w:rsidR="0027182E">
        <w:trPr>
          <w:trHeight w:val="624"/>
          <w:jc w:val="center"/>
        </w:trPr>
        <w:tc>
          <w:tcPr>
            <w:tcW w:w="498" w:type="dxa"/>
            <w:vMerge/>
            <w:tcBorders>
              <w:top w:val="nil"/>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171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口镇街道</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750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50.0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675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840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56.0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795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53.0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607"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588</w:t>
            </w:r>
          </w:p>
        </w:tc>
        <w:tc>
          <w:tcPr>
            <w:tcW w:w="69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39.2</w:t>
            </w:r>
          </w:p>
        </w:tc>
        <w:tc>
          <w:tcPr>
            <w:tcW w:w="639"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557</w:t>
            </w:r>
          </w:p>
        </w:tc>
        <w:tc>
          <w:tcPr>
            <w:tcW w:w="700"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37.1</w:t>
            </w:r>
          </w:p>
        </w:tc>
        <w:tc>
          <w:tcPr>
            <w:tcW w:w="60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44"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r>
      <w:tr w:rsidR="0027182E">
        <w:trPr>
          <w:trHeight w:val="624"/>
          <w:jc w:val="center"/>
        </w:trPr>
        <w:tc>
          <w:tcPr>
            <w:tcW w:w="498" w:type="dxa"/>
            <w:vMerge w:val="restart"/>
            <w:tcBorders>
              <w:top w:val="nil"/>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二等</w:t>
            </w:r>
          </w:p>
        </w:tc>
        <w:tc>
          <w:tcPr>
            <w:tcW w:w="171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高庄街道、方下街道</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495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33.0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570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38.0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510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34.0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c>
          <w:tcPr>
            <w:tcW w:w="607"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399</w:t>
            </w:r>
          </w:p>
        </w:tc>
        <w:tc>
          <w:tcPr>
            <w:tcW w:w="69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26.6</w:t>
            </w:r>
          </w:p>
        </w:tc>
        <w:tc>
          <w:tcPr>
            <w:tcW w:w="639"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357</w:t>
            </w:r>
          </w:p>
        </w:tc>
        <w:tc>
          <w:tcPr>
            <w:tcW w:w="700"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23.8</w:t>
            </w:r>
          </w:p>
        </w:tc>
        <w:tc>
          <w:tcPr>
            <w:tcW w:w="60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44"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r>
      <w:tr w:rsidR="0027182E">
        <w:trPr>
          <w:trHeight w:val="624"/>
          <w:jc w:val="center"/>
        </w:trPr>
        <w:tc>
          <w:tcPr>
            <w:tcW w:w="498" w:type="dxa"/>
            <w:vMerge/>
            <w:tcBorders>
              <w:top w:val="nil"/>
              <w:left w:val="single" w:sz="4" w:space="0" w:color="auto"/>
              <w:bottom w:val="single" w:sz="4" w:space="0" w:color="auto"/>
              <w:right w:val="single" w:sz="4" w:space="0" w:color="auto"/>
            </w:tcBorders>
            <w:vAlign w:val="center"/>
          </w:tcPr>
          <w:p w:rsidR="0027182E" w:rsidRDefault="0027182E">
            <w:pPr>
              <w:widowControl/>
              <w:spacing w:after="0" w:line="240" w:lineRule="auto"/>
              <w:rPr>
                <w:rFonts w:ascii="仿宋_GB2312" w:eastAsia="仿宋_GB2312" w:hAnsiTheme="minorEastAsia" w:cs="宋体"/>
                <w:color w:val="000000"/>
                <w:kern w:val="0"/>
                <w:sz w:val="21"/>
                <w:szCs w:val="21"/>
              </w:rPr>
            </w:pPr>
          </w:p>
        </w:tc>
        <w:tc>
          <w:tcPr>
            <w:tcW w:w="171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羊里街道、牛泉镇、杨庄镇、寨里镇</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540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36.0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480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c>
          <w:tcPr>
            <w:tcW w:w="607"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378</w:t>
            </w:r>
          </w:p>
        </w:tc>
        <w:tc>
          <w:tcPr>
            <w:tcW w:w="69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25.2</w:t>
            </w:r>
          </w:p>
        </w:tc>
        <w:tc>
          <w:tcPr>
            <w:tcW w:w="639"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336</w:t>
            </w:r>
          </w:p>
        </w:tc>
        <w:tc>
          <w:tcPr>
            <w:tcW w:w="700"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22.4</w:t>
            </w:r>
          </w:p>
        </w:tc>
        <w:tc>
          <w:tcPr>
            <w:tcW w:w="60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44"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r>
      <w:tr w:rsidR="0027182E">
        <w:trPr>
          <w:trHeight w:val="624"/>
          <w:jc w:val="center"/>
        </w:trPr>
        <w:tc>
          <w:tcPr>
            <w:tcW w:w="498" w:type="dxa"/>
            <w:tcBorders>
              <w:top w:val="nil"/>
              <w:left w:val="single" w:sz="4" w:space="0" w:color="auto"/>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三等</w:t>
            </w:r>
          </w:p>
        </w:tc>
        <w:tc>
          <w:tcPr>
            <w:tcW w:w="1717" w:type="dxa"/>
            <w:tcBorders>
              <w:top w:val="nil"/>
              <w:left w:val="nil"/>
              <w:bottom w:val="single" w:sz="4" w:space="0" w:color="auto"/>
              <w:right w:val="single" w:sz="4" w:space="0" w:color="auto"/>
            </w:tcBorders>
            <w:shd w:val="clear" w:color="auto" w:fill="auto"/>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cs="宋体" w:hint="eastAsia"/>
                <w:color w:val="000000"/>
                <w:kern w:val="0"/>
                <w:sz w:val="21"/>
                <w:szCs w:val="21"/>
              </w:rPr>
              <w:t>苗山镇、大王庄镇、茶业口镇、和庄镇</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510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34.0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73"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5"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c>
          <w:tcPr>
            <w:tcW w:w="607"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357</w:t>
            </w:r>
          </w:p>
        </w:tc>
        <w:tc>
          <w:tcPr>
            <w:tcW w:w="69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23.8</w:t>
            </w:r>
          </w:p>
        </w:tc>
        <w:tc>
          <w:tcPr>
            <w:tcW w:w="639"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326</w:t>
            </w:r>
          </w:p>
        </w:tc>
        <w:tc>
          <w:tcPr>
            <w:tcW w:w="700"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21.7</w:t>
            </w:r>
          </w:p>
        </w:tc>
        <w:tc>
          <w:tcPr>
            <w:tcW w:w="602"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465</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31.0</w:t>
            </w:r>
          </w:p>
        </w:tc>
        <w:tc>
          <w:tcPr>
            <w:tcW w:w="544"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450</w:t>
            </w:r>
          </w:p>
        </w:tc>
        <w:tc>
          <w:tcPr>
            <w:tcW w:w="646" w:type="dxa"/>
            <w:tcBorders>
              <w:top w:val="nil"/>
              <w:left w:val="nil"/>
              <w:bottom w:val="single" w:sz="4" w:space="0" w:color="auto"/>
              <w:right w:val="single" w:sz="4" w:space="0" w:color="auto"/>
            </w:tcBorders>
            <w:shd w:val="clear" w:color="auto" w:fill="auto"/>
            <w:noWrap/>
            <w:vAlign w:val="center"/>
          </w:tcPr>
          <w:p w:rsidR="0027182E" w:rsidRDefault="00007471">
            <w:pPr>
              <w:widowControl/>
              <w:spacing w:after="0" w:line="240" w:lineRule="auto"/>
              <w:jc w:val="center"/>
              <w:rPr>
                <w:rFonts w:ascii="仿宋_GB2312" w:eastAsia="仿宋_GB2312" w:hAnsiTheme="minorEastAsia" w:cs="宋体"/>
                <w:color w:val="000000"/>
                <w:kern w:val="0"/>
                <w:sz w:val="21"/>
                <w:szCs w:val="21"/>
              </w:rPr>
            </w:pPr>
            <w:r>
              <w:rPr>
                <w:rFonts w:ascii="仿宋_GB2312" w:eastAsia="仿宋_GB2312" w:hAnsiTheme="minorEastAsia" w:hint="eastAsia"/>
                <w:color w:val="000000"/>
                <w:sz w:val="21"/>
                <w:szCs w:val="21"/>
              </w:rPr>
              <w:t>30.0</w:t>
            </w:r>
          </w:p>
        </w:tc>
      </w:tr>
    </w:tbl>
    <w:p w:rsidR="0027182E" w:rsidRDefault="0027182E">
      <w:pPr>
        <w:pStyle w:val="a7"/>
        <w:shd w:val="clear" w:color="auto" w:fill="FFFFFF"/>
        <w:spacing w:before="0" w:beforeAutospacing="0" w:after="0" w:afterAutospacing="0"/>
        <w:ind w:firstLineChars="200" w:firstLine="640"/>
        <w:rPr>
          <w:rFonts w:ascii="仿宋_GB2312" w:eastAsia="仿宋_GB2312" w:hAnsi="微软雅黑"/>
          <w:sz w:val="32"/>
          <w:szCs w:val="32"/>
        </w:rPr>
      </w:pPr>
    </w:p>
    <w:sectPr w:rsidR="0027182E" w:rsidSect="008A2EF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36" w:rsidRDefault="002B0636">
      <w:pPr>
        <w:spacing w:line="240" w:lineRule="auto"/>
      </w:pPr>
      <w:r>
        <w:separator/>
      </w:r>
    </w:p>
  </w:endnote>
  <w:endnote w:type="continuationSeparator" w:id="0">
    <w:p w:rsidR="002B0636" w:rsidRDefault="002B06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36" w:rsidRDefault="002B0636">
      <w:pPr>
        <w:spacing w:after="0"/>
      </w:pPr>
      <w:r>
        <w:separator/>
      </w:r>
    </w:p>
  </w:footnote>
  <w:footnote w:type="continuationSeparator" w:id="0">
    <w:p w:rsidR="002B0636" w:rsidRDefault="002B06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diOTRkMmNmOTJmNmY1ZDM0ZWQ2ZGJmYjEzOTQ5OGIifQ=="/>
  </w:docVars>
  <w:rsids>
    <w:rsidRoot w:val="007B5015"/>
    <w:rsid w:val="00007471"/>
    <w:rsid w:val="0009351B"/>
    <w:rsid w:val="000E1059"/>
    <w:rsid w:val="001367CB"/>
    <w:rsid w:val="00137532"/>
    <w:rsid w:val="00167014"/>
    <w:rsid w:val="001D5A67"/>
    <w:rsid w:val="001E160E"/>
    <w:rsid w:val="00225FB6"/>
    <w:rsid w:val="00226514"/>
    <w:rsid w:val="0027182E"/>
    <w:rsid w:val="002B0636"/>
    <w:rsid w:val="002B5161"/>
    <w:rsid w:val="00327E92"/>
    <w:rsid w:val="00360B73"/>
    <w:rsid w:val="00434E52"/>
    <w:rsid w:val="004E30CB"/>
    <w:rsid w:val="00527245"/>
    <w:rsid w:val="005842E4"/>
    <w:rsid w:val="005E0364"/>
    <w:rsid w:val="00656960"/>
    <w:rsid w:val="007B5015"/>
    <w:rsid w:val="007B5789"/>
    <w:rsid w:val="00841BF9"/>
    <w:rsid w:val="008602EB"/>
    <w:rsid w:val="00882A49"/>
    <w:rsid w:val="008A2EF7"/>
    <w:rsid w:val="008B3577"/>
    <w:rsid w:val="009023BA"/>
    <w:rsid w:val="00904A9E"/>
    <w:rsid w:val="00926826"/>
    <w:rsid w:val="009306C7"/>
    <w:rsid w:val="00993033"/>
    <w:rsid w:val="009B6A17"/>
    <w:rsid w:val="009F323A"/>
    <w:rsid w:val="00A3193B"/>
    <w:rsid w:val="00B67B59"/>
    <w:rsid w:val="00B86EC5"/>
    <w:rsid w:val="00BA0621"/>
    <w:rsid w:val="00C51022"/>
    <w:rsid w:val="00DD0C0A"/>
    <w:rsid w:val="00E377DB"/>
    <w:rsid w:val="00E51C48"/>
    <w:rsid w:val="00E52868"/>
    <w:rsid w:val="00F1190C"/>
    <w:rsid w:val="11090FE3"/>
    <w:rsid w:val="46BE3A85"/>
    <w:rsid w:val="5D4026FB"/>
    <w:rsid w:val="70F47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F7"/>
    <w:pPr>
      <w:widowControl w:val="0"/>
      <w:spacing w:after="160" w:line="278" w:lineRule="auto"/>
    </w:pPr>
    <w:rPr>
      <w:kern w:val="2"/>
      <w:sz w:val="22"/>
      <w:szCs w:val="24"/>
    </w:rPr>
  </w:style>
  <w:style w:type="paragraph" w:styleId="1">
    <w:name w:val="heading 1"/>
    <w:basedOn w:val="a"/>
    <w:next w:val="a"/>
    <w:link w:val="1Char"/>
    <w:uiPriority w:val="9"/>
    <w:qFormat/>
    <w:rsid w:val="008A2EF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8A2EF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8A2EF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8A2EF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8A2EF7"/>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8A2EF7"/>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8A2EF7"/>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A2EF7"/>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8A2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A2EF7"/>
    <w:pPr>
      <w:spacing w:after="0" w:line="240" w:lineRule="auto"/>
      <w:jc w:val="both"/>
    </w:pPr>
    <w:rPr>
      <w:rFonts w:ascii="宋体" w:eastAsia="宋体" w:hAnsi="Courier New" w:cs="Times New Roman"/>
      <w:sz w:val="21"/>
      <w:szCs w:val="20"/>
    </w:rPr>
  </w:style>
  <w:style w:type="paragraph" w:styleId="a4">
    <w:name w:val="footer"/>
    <w:basedOn w:val="a"/>
    <w:link w:val="Char0"/>
    <w:uiPriority w:val="99"/>
    <w:unhideWhenUsed/>
    <w:qFormat/>
    <w:rsid w:val="008A2EF7"/>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8A2EF7"/>
    <w:pPr>
      <w:tabs>
        <w:tab w:val="center" w:pos="4153"/>
        <w:tab w:val="right" w:pos="8306"/>
      </w:tabs>
      <w:snapToGrid w:val="0"/>
      <w:spacing w:line="240" w:lineRule="auto"/>
      <w:jc w:val="center"/>
    </w:pPr>
    <w:rPr>
      <w:sz w:val="18"/>
      <w:szCs w:val="18"/>
    </w:rPr>
  </w:style>
  <w:style w:type="paragraph" w:styleId="a6">
    <w:name w:val="Subtitle"/>
    <w:basedOn w:val="a"/>
    <w:next w:val="a"/>
    <w:link w:val="Char2"/>
    <w:uiPriority w:val="11"/>
    <w:qFormat/>
    <w:rsid w:val="008A2EF7"/>
    <w:pPr>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unhideWhenUsed/>
    <w:qFormat/>
    <w:rsid w:val="008A2EF7"/>
    <w:pPr>
      <w:widowControl/>
      <w:spacing w:before="100" w:beforeAutospacing="1" w:after="100" w:afterAutospacing="1" w:line="240" w:lineRule="auto"/>
    </w:pPr>
    <w:rPr>
      <w:rFonts w:ascii="宋体" w:eastAsia="宋体" w:hAnsi="宋体" w:cs="宋体"/>
      <w:kern w:val="0"/>
      <w:sz w:val="24"/>
    </w:rPr>
  </w:style>
  <w:style w:type="paragraph" w:styleId="a8">
    <w:name w:val="Title"/>
    <w:basedOn w:val="a"/>
    <w:next w:val="a"/>
    <w:link w:val="Char3"/>
    <w:uiPriority w:val="10"/>
    <w:qFormat/>
    <w:rsid w:val="008A2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9">
    <w:name w:val="Strong"/>
    <w:basedOn w:val="a0"/>
    <w:uiPriority w:val="22"/>
    <w:qFormat/>
    <w:rsid w:val="008A2EF7"/>
    <w:rPr>
      <w:b/>
      <w:bCs/>
    </w:rPr>
  </w:style>
  <w:style w:type="character" w:customStyle="1" w:styleId="1Char">
    <w:name w:val="标题 1 Char"/>
    <w:basedOn w:val="a0"/>
    <w:link w:val="1"/>
    <w:uiPriority w:val="9"/>
    <w:qFormat/>
    <w:rsid w:val="008A2EF7"/>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8A2EF7"/>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8A2EF7"/>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8A2EF7"/>
    <w:rPr>
      <w:rFonts w:cstheme="majorBidi"/>
      <w:color w:val="0F4761" w:themeColor="accent1" w:themeShade="BF"/>
      <w:sz w:val="28"/>
      <w:szCs w:val="28"/>
    </w:rPr>
  </w:style>
  <w:style w:type="character" w:customStyle="1" w:styleId="5Char">
    <w:name w:val="标题 5 Char"/>
    <w:basedOn w:val="a0"/>
    <w:link w:val="5"/>
    <w:uiPriority w:val="9"/>
    <w:semiHidden/>
    <w:qFormat/>
    <w:rsid w:val="008A2EF7"/>
    <w:rPr>
      <w:rFonts w:cstheme="majorBidi"/>
      <w:color w:val="0F4761" w:themeColor="accent1" w:themeShade="BF"/>
      <w:sz w:val="24"/>
    </w:rPr>
  </w:style>
  <w:style w:type="character" w:customStyle="1" w:styleId="6Char">
    <w:name w:val="标题 6 Char"/>
    <w:basedOn w:val="a0"/>
    <w:link w:val="6"/>
    <w:uiPriority w:val="9"/>
    <w:semiHidden/>
    <w:qFormat/>
    <w:rsid w:val="008A2EF7"/>
    <w:rPr>
      <w:rFonts w:cstheme="majorBidi"/>
      <w:b/>
      <w:bCs/>
      <w:color w:val="0F4761" w:themeColor="accent1" w:themeShade="BF"/>
    </w:rPr>
  </w:style>
  <w:style w:type="character" w:customStyle="1" w:styleId="7Char">
    <w:name w:val="标题 7 Char"/>
    <w:basedOn w:val="a0"/>
    <w:link w:val="7"/>
    <w:uiPriority w:val="9"/>
    <w:semiHidden/>
    <w:qFormat/>
    <w:rsid w:val="008A2EF7"/>
    <w:rPr>
      <w:rFonts w:cstheme="majorBidi"/>
      <w:b/>
      <w:bCs/>
      <w:color w:val="595959" w:themeColor="text1" w:themeTint="A6"/>
    </w:rPr>
  </w:style>
  <w:style w:type="character" w:customStyle="1" w:styleId="8Char">
    <w:name w:val="标题 8 Char"/>
    <w:basedOn w:val="a0"/>
    <w:link w:val="8"/>
    <w:uiPriority w:val="9"/>
    <w:semiHidden/>
    <w:qFormat/>
    <w:rsid w:val="008A2EF7"/>
    <w:rPr>
      <w:rFonts w:cstheme="majorBidi"/>
      <w:color w:val="595959" w:themeColor="text1" w:themeTint="A6"/>
    </w:rPr>
  </w:style>
  <w:style w:type="character" w:customStyle="1" w:styleId="9Char">
    <w:name w:val="标题 9 Char"/>
    <w:basedOn w:val="a0"/>
    <w:link w:val="9"/>
    <w:uiPriority w:val="9"/>
    <w:semiHidden/>
    <w:rsid w:val="008A2EF7"/>
    <w:rPr>
      <w:rFonts w:eastAsiaTheme="majorEastAsia" w:cstheme="majorBidi"/>
      <w:color w:val="595959" w:themeColor="text1" w:themeTint="A6"/>
    </w:rPr>
  </w:style>
  <w:style w:type="character" w:customStyle="1" w:styleId="Char3">
    <w:name w:val="标题 Char"/>
    <w:basedOn w:val="a0"/>
    <w:link w:val="a8"/>
    <w:uiPriority w:val="10"/>
    <w:qFormat/>
    <w:rsid w:val="008A2EF7"/>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sid w:val="008A2EF7"/>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4"/>
    <w:uiPriority w:val="29"/>
    <w:qFormat/>
    <w:rsid w:val="008A2EF7"/>
    <w:pPr>
      <w:spacing w:before="160"/>
      <w:jc w:val="center"/>
    </w:pPr>
    <w:rPr>
      <w:i/>
      <w:iCs/>
      <w:color w:val="404040" w:themeColor="text1" w:themeTint="BF"/>
    </w:rPr>
  </w:style>
  <w:style w:type="character" w:customStyle="1" w:styleId="Char4">
    <w:name w:val="引用 Char"/>
    <w:basedOn w:val="a0"/>
    <w:link w:val="aa"/>
    <w:uiPriority w:val="29"/>
    <w:qFormat/>
    <w:rsid w:val="008A2EF7"/>
    <w:rPr>
      <w:i/>
      <w:iCs/>
      <w:color w:val="404040" w:themeColor="text1" w:themeTint="BF"/>
    </w:rPr>
  </w:style>
  <w:style w:type="paragraph" w:styleId="ab">
    <w:name w:val="List Paragraph"/>
    <w:basedOn w:val="a"/>
    <w:uiPriority w:val="34"/>
    <w:qFormat/>
    <w:rsid w:val="008A2EF7"/>
    <w:pPr>
      <w:ind w:left="720"/>
      <w:contextualSpacing/>
    </w:pPr>
  </w:style>
  <w:style w:type="character" w:customStyle="1" w:styleId="10">
    <w:name w:val="明显强调1"/>
    <w:basedOn w:val="a0"/>
    <w:uiPriority w:val="21"/>
    <w:qFormat/>
    <w:rsid w:val="008A2EF7"/>
    <w:rPr>
      <w:i/>
      <w:iCs/>
      <w:color w:val="0F4761" w:themeColor="accent1" w:themeShade="BF"/>
    </w:rPr>
  </w:style>
  <w:style w:type="paragraph" w:styleId="ac">
    <w:name w:val="Intense Quote"/>
    <w:basedOn w:val="a"/>
    <w:next w:val="a"/>
    <w:link w:val="Char5"/>
    <w:uiPriority w:val="30"/>
    <w:qFormat/>
    <w:rsid w:val="008A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c"/>
    <w:uiPriority w:val="30"/>
    <w:qFormat/>
    <w:rsid w:val="008A2EF7"/>
    <w:rPr>
      <w:i/>
      <w:iCs/>
      <w:color w:val="0F4761" w:themeColor="accent1" w:themeShade="BF"/>
    </w:rPr>
  </w:style>
  <w:style w:type="character" w:customStyle="1" w:styleId="11">
    <w:name w:val="明显参考1"/>
    <w:basedOn w:val="a0"/>
    <w:uiPriority w:val="32"/>
    <w:qFormat/>
    <w:rsid w:val="008A2EF7"/>
    <w:rPr>
      <w:b/>
      <w:bCs/>
      <w:smallCaps/>
      <w:color w:val="0F4761" w:themeColor="accent1" w:themeShade="BF"/>
      <w:spacing w:val="5"/>
    </w:rPr>
  </w:style>
  <w:style w:type="character" w:customStyle="1" w:styleId="Char">
    <w:name w:val="纯文本 Char"/>
    <w:basedOn w:val="a0"/>
    <w:link w:val="a3"/>
    <w:qFormat/>
    <w:rsid w:val="008A2EF7"/>
    <w:rPr>
      <w:rFonts w:ascii="宋体" w:eastAsia="宋体" w:hAnsi="Courier New" w:cs="Times New Roman"/>
      <w:sz w:val="21"/>
      <w:szCs w:val="20"/>
    </w:rPr>
  </w:style>
  <w:style w:type="character" w:customStyle="1" w:styleId="Char1">
    <w:name w:val="页眉 Char"/>
    <w:basedOn w:val="a0"/>
    <w:link w:val="a5"/>
    <w:uiPriority w:val="99"/>
    <w:qFormat/>
    <w:rsid w:val="008A2EF7"/>
    <w:rPr>
      <w:sz w:val="18"/>
      <w:szCs w:val="18"/>
    </w:rPr>
  </w:style>
  <w:style w:type="character" w:customStyle="1" w:styleId="Char0">
    <w:name w:val="页脚 Char"/>
    <w:basedOn w:val="a0"/>
    <w:link w:val="a4"/>
    <w:uiPriority w:val="99"/>
    <w:qFormat/>
    <w:rsid w:val="008A2E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40F76E-100D-4A77-8F36-C1E34BAE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qingye</dc:creator>
  <cp:lastModifiedBy>dreamsummit</cp:lastModifiedBy>
  <cp:revision>13</cp:revision>
  <dcterms:created xsi:type="dcterms:W3CDTF">2024-06-17T08:33:00Z</dcterms:created>
  <dcterms:modified xsi:type="dcterms:W3CDTF">2024-07-12T07:37:00Z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ADF3B1C0C9F047D88E90B2ED3E0D2CB5_13</vt:lpwstr>
  </property>
</Properties>
</file>