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700" w:lineRule="exact"/>
        <w:jc w:val="center"/>
        <w:textAlignment w:val="baseline"/>
        <w:rPr>
          <w:rFonts w:hint="eastAsia" w:ascii="方正小标宋简体" w:hAnsi="方正小标宋简体" w:eastAsia="方正小标宋简体" w:cs="方正小标宋简体"/>
          <w:b w:val="0"/>
          <w:bCs w:val="0"/>
          <w:color w:val="auto"/>
          <w:spacing w:val="11"/>
          <w:w w:val="35"/>
          <w:sz w:val="144"/>
          <w:szCs w:val="144"/>
          <w:lang w:val="en-US" w:eastAsia="zh-CN"/>
        </w:rPr>
      </w:pPr>
      <w:r>
        <w:rPr>
          <w:rFonts w:hint="eastAsia" w:ascii="方正小标宋简体" w:hAnsi="方正小标宋简体" w:eastAsia="方正小标宋简体" w:cs="方正小标宋简体"/>
          <w:b w:val="0"/>
          <w:bCs w:val="0"/>
          <w:color w:val="auto"/>
          <w:spacing w:val="11"/>
          <w:w w:val="35"/>
          <w:sz w:val="144"/>
          <w:szCs w:val="144"/>
          <w:lang w:val="en-US" w:eastAsia="zh-CN"/>
        </w:rPr>
        <w:t xml:space="preserve"> </w:t>
      </w:r>
    </w:p>
    <w:p>
      <w:pPr>
        <w:pStyle w:val="2"/>
        <w:rPr>
          <w:rFonts w:hint="eastAsia" w:ascii="方正小标宋简体" w:hAnsi="方正小标宋简体" w:eastAsia="方正小标宋简体" w:cs="方正小标宋简体"/>
          <w:b w:val="0"/>
          <w:bCs w:val="0"/>
          <w:color w:val="auto"/>
          <w:spacing w:val="11"/>
          <w:w w:val="35"/>
          <w:sz w:val="144"/>
          <w:szCs w:val="144"/>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snapToGrid/>
        <w:spacing w:before="0" w:beforeAutospacing="0" w:after="0" w:afterAutospacing="0" w:line="700" w:lineRule="exact"/>
        <w:jc w:val="center"/>
        <w:textAlignment w:val="baseline"/>
        <w:rPr>
          <w:rFonts w:hint="eastAsia" w:ascii="方正小标宋简体" w:eastAsia="方正小标宋简体"/>
          <w:b w:val="0"/>
          <w:i w:val="0"/>
          <w:caps w:val="0"/>
          <w:color w:val="auto"/>
          <w:spacing w:val="0"/>
          <w:w w:val="100"/>
          <w:sz w:val="44"/>
          <w:szCs w:val="44"/>
          <w:lang w:val="en-US" w:eastAsia="zh-CN"/>
        </w:rPr>
      </w:pPr>
      <w:r>
        <w:rPr>
          <w:rFonts w:hint="eastAsia" w:ascii="方正小标宋简体" w:eastAsia="方正小标宋简体"/>
          <w:b w:val="0"/>
          <w:i w:val="0"/>
          <w:caps w:val="0"/>
          <w:color w:val="auto"/>
          <w:spacing w:val="0"/>
          <w:w w:val="100"/>
          <w:sz w:val="44"/>
          <w:szCs w:val="44"/>
          <w:lang w:val="en-US" w:eastAsia="zh-CN"/>
        </w:rPr>
        <w:t>济南市莱芜区人民政府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仿宋_GB2312" w:eastAsia="仿宋_GB2312"/>
          <w:b w:val="0"/>
          <w:i w:val="0"/>
          <w:caps w:val="0"/>
          <w:color w:val="auto"/>
          <w:spacing w:val="0"/>
          <w:w w:val="100"/>
          <w:sz w:val="32"/>
          <w:szCs w:val="32"/>
          <w:lang w:val="en-US" w:eastAsia="zh-CN"/>
        </w:rPr>
      </w:pPr>
      <w:r>
        <w:rPr>
          <w:rFonts w:hint="eastAsia" w:ascii="方正小标宋简体" w:eastAsia="方正小标宋简体"/>
          <w:b w:val="0"/>
          <w:i w:val="0"/>
          <w:caps w:val="0"/>
          <w:color w:val="auto"/>
          <w:spacing w:val="0"/>
          <w:w w:val="100"/>
          <w:sz w:val="44"/>
          <w:szCs w:val="44"/>
          <w:lang w:val="en-US" w:eastAsia="zh-CN"/>
        </w:rPr>
        <w:t>关于印发《莱芜区“无废城市”建设实施方案（2022-2025年）》的通知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baseline"/>
        <w:rPr>
          <w:rFonts w:hint="eastAsia" w:ascii="仿宋_GB2312" w:eastAsia="仿宋_GB2312"/>
          <w:b w:val="0"/>
          <w:i w:val="0"/>
          <w:caps w:val="0"/>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baseline"/>
        <w:rPr>
          <w:rFonts w:hint="default" w:ascii="仿宋_GB2312" w:eastAsia="仿宋_GB2312"/>
          <w:b w:val="0"/>
          <w:i w:val="0"/>
          <w:caps w:val="0"/>
          <w:color w:val="auto"/>
          <w:spacing w:val="0"/>
          <w:w w:val="100"/>
          <w:sz w:val="32"/>
          <w:szCs w:val="32"/>
          <w:lang w:val="en-US" w:eastAsia="zh-CN"/>
        </w:rPr>
      </w:pPr>
      <w:r>
        <w:rPr>
          <w:rFonts w:hint="eastAsia" w:ascii="仿宋_GB2312" w:eastAsia="仿宋_GB2312"/>
          <w:b w:val="0"/>
          <w:i w:val="0"/>
          <w:caps w:val="0"/>
          <w:color w:val="auto"/>
          <w:spacing w:val="0"/>
          <w:w w:val="100"/>
          <w:sz w:val="32"/>
          <w:szCs w:val="32"/>
          <w:lang w:val="en-US" w:eastAsia="zh-CN"/>
        </w:rPr>
        <w:t>各功能区管委会，各街道（镇）办事处（人民政府），区政府各部门，区直各企事业单位：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color w:val="auto"/>
          <w:spacing w:val="0"/>
          <w:w w:val="100"/>
          <w:sz w:val="32"/>
          <w:szCs w:val="32"/>
        </w:rPr>
      </w:pPr>
      <w:r>
        <w:rPr>
          <w:rFonts w:hint="eastAsia" w:ascii="仿宋_GB2312" w:eastAsia="仿宋_GB2312"/>
          <w:b w:val="0"/>
          <w:i w:val="0"/>
          <w:caps w:val="0"/>
          <w:color w:val="auto"/>
          <w:spacing w:val="0"/>
          <w:w w:val="100"/>
          <w:sz w:val="32"/>
          <w:szCs w:val="32"/>
          <w:lang w:val="en-US" w:eastAsia="zh-CN"/>
        </w:rPr>
        <w:t>现将《莱芜区“无废城市”建设实施方案（2022-2025年）》印发给你们，请认真组织实施。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baseline"/>
        <w:rPr>
          <w:rFonts w:ascii="仿宋_GB2312" w:eastAsia="仿宋_GB2312"/>
          <w:b w:val="0"/>
          <w:i w:val="0"/>
          <w:caps w:val="0"/>
          <w:color w:val="auto"/>
          <w:spacing w:val="0"/>
          <w:w w:val="100"/>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60" w:firstLine="640" w:firstLineChars="200"/>
        <w:jc w:val="center"/>
        <w:textAlignment w:val="baseline"/>
        <w:rPr>
          <w:rFonts w:hint="eastAsia" w:ascii="仿宋_GB2312" w:eastAsia="仿宋_GB2312"/>
          <w:b w:val="0"/>
          <w:i w:val="0"/>
          <w:caps w:val="0"/>
          <w:color w:val="auto"/>
          <w:spacing w:val="0"/>
          <w:w w:val="100"/>
          <w:sz w:val="32"/>
          <w:szCs w:val="32"/>
          <w:lang w:val="en-US" w:eastAsia="zh-CN"/>
        </w:rPr>
      </w:pPr>
      <w:r>
        <w:rPr>
          <w:rFonts w:hint="eastAsia" w:ascii="仿宋_GB2312" w:eastAsia="仿宋_GB2312"/>
          <w:b w:val="0"/>
          <w:i w:val="0"/>
          <w:caps w:val="0"/>
          <w:color w:val="auto"/>
          <w:spacing w:val="0"/>
          <w:w w:val="100"/>
          <w:sz w:val="32"/>
          <w:szCs w:val="32"/>
          <w:lang w:val="en-US" w:eastAsia="zh-CN"/>
        </w:rPr>
        <w:t xml:space="preserve">              济南市莱芜区人民政府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60" w:firstLine="640" w:firstLineChars="200"/>
        <w:jc w:val="center"/>
        <w:textAlignment w:val="baseline"/>
        <w:rPr>
          <w:rFonts w:ascii="仿宋_GB2312" w:eastAsia="仿宋_GB2312"/>
          <w:b w:val="0"/>
          <w:i w:val="0"/>
          <w:caps w:val="0"/>
          <w:color w:val="auto"/>
          <w:spacing w:val="0"/>
          <w:w w:val="100"/>
          <w:sz w:val="32"/>
          <w:szCs w:val="32"/>
        </w:rPr>
      </w:pPr>
      <w:r>
        <w:rPr>
          <w:rFonts w:hint="eastAsia" w:ascii="仿宋_GB2312" w:eastAsia="仿宋_GB2312"/>
          <w:b w:val="0"/>
          <w:i w:val="0"/>
          <w:caps w:val="0"/>
          <w:color w:val="auto"/>
          <w:spacing w:val="0"/>
          <w:w w:val="100"/>
          <w:sz w:val="32"/>
          <w:szCs w:val="32"/>
          <w:lang w:val="en-US" w:eastAsia="zh-CN"/>
        </w:rPr>
        <w:t xml:space="preserve">            </w:t>
      </w:r>
      <w:r>
        <w:rPr>
          <w:rFonts w:hint="eastAsia" w:ascii="仿宋_GB2312" w:eastAsia="仿宋_GB2312"/>
          <w:b w:val="0"/>
          <w:i w:val="0"/>
          <w:caps w:val="0"/>
          <w:color w:val="auto"/>
          <w:spacing w:val="0"/>
          <w:w w:val="100"/>
          <w:sz w:val="32"/>
          <w:szCs w:val="32"/>
        </w:rPr>
        <w:t>202</w:t>
      </w:r>
      <w:r>
        <w:rPr>
          <w:rFonts w:hint="eastAsia" w:ascii="仿宋_GB2312" w:eastAsia="仿宋_GB2312"/>
          <w:b w:val="0"/>
          <w:i w:val="0"/>
          <w:caps w:val="0"/>
          <w:color w:val="auto"/>
          <w:spacing w:val="0"/>
          <w:w w:val="100"/>
          <w:sz w:val="32"/>
          <w:szCs w:val="32"/>
          <w:lang w:val="en-US" w:eastAsia="zh-CN"/>
        </w:rPr>
        <w:t>3</w:t>
      </w:r>
      <w:r>
        <w:rPr>
          <w:rFonts w:hint="eastAsia" w:ascii="仿宋_GB2312" w:eastAsia="仿宋_GB2312"/>
          <w:b w:val="0"/>
          <w:i w:val="0"/>
          <w:caps w:val="0"/>
          <w:color w:val="auto"/>
          <w:spacing w:val="0"/>
          <w:w w:val="100"/>
          <w:sz w:val="32"/>
          <w:szCs w:val="32"/>
        </w:rPr>
        <w:t>年</w:t>
      </w:r>
      <w:r>
        <w:rPr>
          <w:rFonts w:hint="eastAsia" w:ascii="仿宋_GB2312" w:eastAsia="仿宋_GB2312"/>
          <w:b w:val="0"/>
          <w:i w:val="0"/>
          <w:caps w:val="0"/>
          <w:color w:val="auto"/>
          <w:spacing w:val="0"/>
          <w:w w:val="100"/>
          <w:sz w:val="32"/>
          <w:szCs w:val="32"/>
          <w:lang w:val="en-US" w:eastAsia="zh-CN"/>
        </w:rPr>
        <w:t>3</w:t>
      </w:r>
      <w:r>
        <w:rPr>
          <w:rFonts w:hint="eastAsia" w:ascii="仿宋_GB2312" w:eastAsia="仿宋_GB2312"/>
          <w:b w:val="0"/>
          <w:i w:val="0"/>
          <w:caps w:val="0"/>
          <w:color w:val="auto"/>
          <w:spacing w:val="0"/>
          <w:w w:val="100"/>
          <w:sz w:val="32"/>
          <w:szCs w:val="32"/>
        </w:rPr>
        <w:t>月</w:t>
      </w:r>
      <w:r>
        <w:rPr>
          <w:rFonts w:hint="eastAsia" w:ascii="仿宋_GB2312" w:eastAsia="仿宋_GB2312"/>
          <w:b w:val="0"/>
          <w:i w:val="0"/>
          <w:caps w:val="0"/>
          <w:color w:val="auto"/>
          <w:spacing w:val="0"/>
          <w:w w:val="100"/>
          <w:sz w:val="32"/>
          <w:szCs w:val="32"/>
          <w:lang w:val="en-US" w:eastAsia="zh-CN"/>
        </w:rPr>
        <w:t>31</w:t>
      </w:r>
      <w:r>
        <w:rPr>
          <w:rFonts w:hint="eastAsia" w:ascii="仿宋_GB2312" w:eastAsia="仿宋_GB2312"/>
          <w:b w:val="0"/>
          <w:i w:val="0"/>
          <w:caps w:val="0"/>
          <w:color w:val="auto"/>
          <w:spacing w:val="0"/>
          <w:w w:val="100"/>
          <w:sz w:val="32"/>
          <w:szCs w:val="32"/>
        </w:rPr>
        <w:t>日</w:t>
      </w:r>
    </w:p>
    <w:p>
      <w:pPr>
        <w:rPr>
          <w:rStyle w:val="11"/>
          <w:rFonts w:hint="eastAsia" w:ascii="仿宋_GB2312" w:hAnsi="仿宋_GB2312" w:eastAsia="仿宋_GB2312" w:cs="仿宋_GB2312"/>
          <w:b/>
          <w:bCs/>
          <w:i w:val="0"/>
          <w:iCs w:val="0"/>
          <w:caps w:val="0"/>
          <w:color w:val="auto"/>
          <w:spacing w:val="0"/>
          <w:sz w:val="32"/>
          <w:szCs w:val="32"/>
          <w:shd w:val="clear" w:color="auto" w:fill="FFFFFF"/>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Style w:val="11"/>
          <w:rFonts w:hint="eastAsia" w:ascii="方正小标宋简体" w:hAnsi="方正小标宋简体" w:eastAsia="方正小标宋简体" w:cs="方正小标宋简体"/>
          <w:b/>
          <w:bCs/>
          <w:i w:val="0"/>
          <w:iCs w:val="0"/>
          <w:caps w:val="0"/>
          <w:color w:val="auto"/>
          <w:spacing w:val="0"/>
          <w:sz w:val="44"/>
          <w:szCs w:val="44"/>
          <w:shd w:val="clear" w:color="auto" w:fill="FFFFFF"/>
          <w:lang w:eastAsia="zh-CN"/>
        </w:rPr>
      </w:pPr>
      <w:r>
        <w:rPr>
          <w:rStyle w:val="11"/>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（此件公开发布）</w:t>
      </w:r>
      <w:r>
        <w:rPr>
          <w:rStyle w:val="11"/>
          <w:rFonts w:hint="eastAsia" w:ascii="方正小标宋简体" w:hAnsi="方正小标宋简体" w:eastAsia="方正小标宋简体" w:cs="方正小标宋简体"/>
          <w:b/>
          <w:bCs/>
          <w:i w:val="0"/>
          <w:iCs w:val="0"/>
          <w:caps w:val="0"/>
          <w:color w:val="auto"/>
          <w:spacing w:val="0"/>
          <w:sz w:val="44"/>
          <w:szCs w:val="44"/>
          <w:shd w:val="clear" w:color="auto" w:fill="FFFFFF"/>
          <w:lang w:eastAsia="zh-CN"/>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Style w:val="11"/>
          <w:rFonts w:hint="eastAsia" w:ascii="方正小标宋简体" w:hAnsi="方正小标宋简体" w:eastAsia="方正小标宋简体" w:cs="方正小标宋简体"/>
          <w:b/>
          <w:bCs/>
          <w:i w:val="0"/>
          <w:iCs w:val="0"/>
          <w:caps w:val="0"/>
          <w:color w:val="auto"/>
          <w:spacing w:val="0"/>
          <w:sz w:val="44"/>
          <w:szCs w:val="44"/>
          <w:shd w:val="clear" w:color="auto" w:fill="FFFFFF"/>
        </w:rPr>
      </w:pPr>
      <w:r>
        <w:rPr>
          <w:rStyle w:val="11"/>
          <w:rFonts w:hint="eastAsia" w:ascii="方正小标宋简体" w:hAnsi="方正小标宋简体" w:eastAsia="方正小标宋简体" w:cs="方正小标宋简体"/>
          <w:b/>
          <w:bCs/>
          <w:i w:val="0"/>
          <w:iCs w:val="0"/>
          <w:caps w:val="0"/>
          <w:color w:val="auto"/>
          <w:spacing w:val="0"/>
          <w:sz w:val="44"/>
          <w:szCs w:val="44"/>
          <w:shd w:val="clear" w:color="auto" w:fill="FFFFFF"/>
          <w:lang w:eastAsia="zh-CN"/>
        </w:rPr>
        <w:t>莱芜区</w:t>
      </w:r>
      <w:r>
        <w:rPr>
          <w:rStyle w:val="11"/>
          <w:rFonts w:hint="eastAsia" w:ascii="方正小标宋简体" w:hAnsi="方正小标宋简体" w:eastAsia="方正小标宋简体" w:cs="方正小标宋简体"/>
          <w:b/>
          <w:bCs/>
          <w:i w:val="0"/>
          <w:iCs w:val="0"/>
          <w:caps w:val="0"/>
          <w:color w:val="auto"/>
          <w:spacing w:val="0"/>
          <w:sz w:val="44"/>
          <w:szCs w:val="44"/>
          <w:shd w:val="clear" w:color="auto" w:fill="FFFFFF"/>
        </w:rPr>
        <w:t>“无废城市”建设实施方案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仿宋_GB2312" w:hAnsi="仿宋_GB2312" w:eastAsia="仿宋_GB2312" w:cs="仿宋_GB2312"/>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44"/>
          <w:szCs w:val="44"/>
          <w:shd w:val="clear" w:color="auto" w:fill="FFFFFF"/>
        </w:rPr>
        <w:t>（2022-2025年）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为</w:t>
      </w:r>
      <w:r>
        <w:rPr>
          <w:rFonts w:hint="eastAsia" w:ascii="仿宋_GB2312" w:hAnsi="仿宋_GB2312" w:eastAsia="仿宋_GB2312" w:cs="仿宋_GB2312"/>
          <w:i w:val="0"/>
          <w:iCs w:val="0"/>
          <w:caps w:val="0"/>
          <w:color w:val="auto"/>
          <w:spacing w:val="0"/>
          <w:sz w:val="32"/>
          <w:szCs w:val="32"/>
          <w:shd w:val="clear" w:color="auto" w:fill="FFFFFF"/>
        </w:rPr>
        <w:t>贯彻</w:t>
      </w:r>
      <w:r>
        <w:rPr>
          <w:rFonts w:hint="eastAsia" w:ascii="仿宋_GB2312" w:hAnsi="仿宋_GB2312" w:eastAsia="仿宋_GB2312" w:cs="仿宋_GB2312"/>
          <w:i w:val="0"/>
          <w:iCs w:val="0"/>
          <w:caps w:val="0"/>
          <w:color w:val="auto"/>
          <w:spacing w:val="0"/>
          <w:sz w:val="32"/>
          <w:szCs w:val="32"/>
          <w:shd w:val="clear" w:color="auto" w:fill="FFFFFF"/>
          <w:lang w:eastAsia="zh-CN"/>
        </w:rPr>
        <w:t>落实</w:t>
      </w:r>
      <w:r>
        <w:rPr>
          <w:rFonts w:hint="eastAsia" w:ascii="仿宋_GB2312" w:hAnsi="仿宋_GB2312" w:eastAsia="仿宋_GB2312" w:cs="仿宋_GB2312"/>
          <w:i w:val="0"/>
          <w:iCs w:val="0"/>
          <w:caps w:val="0"/>
          <w:color w:val="auto"/>
          <w:spacing w:val="0"/>
          <w:sz w:val="32"/>
          <w:szCs w:val="32"/>
          <w:shd w:val="clear" w:color="auto" w:fill="FFFFFF"/>
        </w:rPr>
        <w:fldChar w:fldCharType="begin"/>
      </w:r>
      <w:r>
        <w:rPr>
          <w:rFonts w:hint="eastAsia" w:ascii="仿宋_GB2312" w:hAnsi="仿宋_GB2312" w:eastAsia="仿宋_GB2312" w:cs="仿宋_GB2312"/>
          <w:i w:val="0"/>
          <w:iCs w:val="0"/>
          <w:caps w:val="0"/>
          <w:color w:val="auto"/>
          <w:spacing w:val="0"/>
          <w:sz w:val="32"/>
          <w:szCs w:val="32"/>
          <w:shd w:val="clear" w:color="auto" w:fill="FFFFFF"/>
        </w:rPr>
        <w:instrText xml:space="preserve"> HYPERLINK "https://baike.baidu.com/item/%E4%B9%A0%E8%BF%91%E5%B9%B3%E7%94%9F%E6%80%81%E6%96%87%E6%98%8E%E6%80%9D%E6%83%B3/55479835?fromModule=lemma_inlink" \t "https://baike.baidu.com/item/%E6%97%A0%E5%BA%9F%E5%9F%8E%E5%B8%82/_blank" </w:instrText>
      </w:r>
      <w:r>
        <w:rPr>
          <w:rFonts w:hint="eastAsia" w:ascii="仿宋_GB2312" w:hAnsi="仿宋_GB2312" w:eastAsia="仿宋_GB2312" w:cs="仿宋_GB2312"/>
          <w:i w:val="0"/>
          <w:iCs w:val="0"/>
          <w:caps w:val="0"/>
          <w:color w:val="auto"/>
          <w:spacing w:val="0"/>
          <w:sz w:val="32"/>
          <w:szCs w:val="32"/>
          <w:shd w:val="clear" w:color="auto" w:fill="FFFFFF"/>
        </w:rPr>
        <w:fldChar w:fldCharType="separate"/>
      </w:r>
      <w:r>
        <w:rPr>
          <w:rFonts w:hint="eastAsia" w:ascii="仿宋_GB2312" w:hAnsi="仿宋_GB2312" w:eastAsia="仿宋_GB2312" w:cs="仿宋_GB2312"/>
          <w:i w:val="0"/>
          <w:iCs w:val="0"/>
          <w:caps w:val="0"/>
          <w:color w:val="auto"/>
          <w:spacing w:val="0"/>
          <w:sz w:val="32"/>
          <w:szCs w:val="32"/>
          <w:shd w:val="clear" w:color="auto" w:fill="FFFFFF"/>
        </w:rPr>
        <w:t>习近平生态文明思想</w:t>
      </w:r>
      <w:r>
        <w:rPr>
          <w:rFonts w:hint="eastAsia" w:ascii="仿宋_GB2312" w:hAnsi="仿宋_GB2312" w:eastAsia="仿宋_GB2312" w:cs="仿宋_GB2312"/>
          <w:i w:val="0"/>
          <w:iCs w:val="0"/>
          <w:caps w:val="0"/>
          <w:color w:val="auto"/>
          <w:spacing w:val="0"/>
          <w:sz w:val="32"/>
          <w:szCs w:val="32"/>
          <w:shd w:val="clear" w:color="auto" w:fill="FFFFFF"/>
        </w:rPr>
        <w:fldChar w:fldCharType="end"/>
      </w:r>
      <w:r>
        <w:rPr>
          <w:rFonts w:hint="eastAsia" w:ascii="仿宋_GB2312" w:hAnsi="仿宋_GB2312" w:eastAsia="仿宋_GB2312" w:cs="仿宋_GB2312"/>
          <w:i w:val="0"/>
          <w:iCs w:val="0"/>
          <w:caps w:val="0"/>
          <w:color w:val="auto"/>
          <w:spacing w:val="0"/>
          <w:sz w:val="32"/>
          <w:szCs w:val="32"/>
          <w:shd w:val="clear" w:color="auto" w:fill="FFFFFF"/>
        </w:rPr>
        <w:t>，坚持绿色低碳循环发展，实现源头大幅减量、充分资源化利用和安全处置</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将固体废物</w:t>
      </w:r>
      <w:r>
        <w:rPr>
          <w:rFonts w:hint="eastAsia" w:ascii="仿宋_GB2312" w:hAnsi="仿宋_GB2312" w:eastAsia="仿宋_GB2312" w:cs="仿宋_GB2312"/>
          <w:i w:val="0"/>
          <w:iCs w:val="0"/>
          <w:caps w:val="0"/>
          <w:color w:val="auto"/>
          <w:spacing w:val="0"/>
          <w:sz w:val="32"/>
          <w:szCs w:val="32"/>
          <w:shd w:val="clear" w:color="auto" w:fill="FFFFFF"/>
        </w:rPr>
        <w:fldChar w:fldCharType="begin"/>
      </w:r>
      <w:r>
        <w:rPr>
          <w:rFonts w:hint="eastAsia" w:ascii="仿宋_GB2312" w:hAnsi="仿宋_GB2312" w:eastAsia="仿宋_GB2312" w:cs="仿宋_GB2312"/>
          <w:i w:val="0"/>
          <w:iCs w:val="0"/>
          <w:caps w:val="0"/>
          <w:color w:val="auto"/>
          <w:spacing w:val="0"/>
          <w:sz w:val="32"/>
          <w:szCs w:val="32"/>
          <w:shd w:val="clear" w:color="auto" w:fill="FFFFFF"/>
        </w:rPr>
        <w:instrText xml:space="preserve"> HYPERLINK "https://baike.baidu.com/item/%E7%8E%AF%E5%A2%83%E5%BD%B1%E5%93%8D/1719135?fromModule=lemma_inlink" \t "https://baike.baidu.com/item/%E6%97%A0%E5%BA%9F%E5%9F%8E%E5%B8%82/_blank" </w:instrText>
      </w:r>
      <w:r>
        <w:rPr>
          <w:rFonts w:hint="eastAsia" w:ascii="仿宋_GB2312" w:hAnsi="仿宋_GB2312" w:eastAsia="仿宋_GB2312" w:cs="仿宋_GB2312"/>
          <w:i w:val="0"/>
          <w:iCs w:val="0"/>
          <w:caps w:val="0"/>
          <w:color w:val="auto"/>
          <w:spacing w:val="0"/>
          <w:sz w:val="32"/>
          <w:szCs w:val="32"/>
          <w:shd w:val="clear" w:color="auto" w:fill="FFFFFF"/>
        </w:rPr>
        <w:fldChar w:fldCharType="separate"/>
      </w:r>
      <w:r>
        <w:rPr>
          <w:rFonts w:hint="eastAsia" w:ascii="仿宋_GB2312" w:hAnsi="仿宋_GB2312" w:eastAsia="仿宋_GB2312" w:cs="仿宋_GB2312"/>
          <w:i w:val="0"/>
          <w:iCs w:val="0"/>
          <w:caps w:val="0"/>
          <w:color w:val="auto"/>
          <w:spacing w:val="0"/>
          <w:sz w:val="32"/>
          <w:szCs w:val="32"/>
          <w:shd w:val="clear" w:color="auto" w:fill="FFFFFF"/>
        </w:rPr>
        <w:t>环境影响</w:t>
      </w:r>
      <w:r>
        <w:rPr>
          <w:rFonts w:hint="eastAsia" w:ascii="仿宋_GB2312" w:hAnsi="仿宋_GB2312" w:eastAsia="仿宋_GB2312" w:cs="仿宋_GB2312"/>
          <w:i w:val="0"/>
          <w:iCs w:val="0"/>
          <w:caps w:val="0"/>
          <w:color w:val="auto"/>
          <w:spacing w:val="0"/>
          <w:sz w:val="32"/>
          <w:szCs w:val="32"/>
          <w:shd w:val="clear" w:color="auto" w:fill="FFFFFF"/>
        </w:rPr>
        <w:fldChar w:fldCharType="end"/>
      </w:r>
      <w:r>
        <w:rPr>
          <w:rFonts w:hint="eastAsia" w:ascii="仿宋_GB2312" w:hAnsi="仿宋_GB2312" w:eastAsia="仿宋_GB2312" w:cs="仿宋_GB2312"/>
          <w:i w:val="0"/>
          <w:iCs w:val="0"/>
          <w:caps w:val="0"/>
          <w:color w:val="auto"/>
          <w:spacing w:val="0"/>
          <w:sz w:val="32"/>
          <w:szCs w:val="32"/>
          <w:shd w:val="clear" w:color="auto" w:fill="FFFFFF"/>
        </w:rPr>
        <w:t>降至最低的城市</w:t>
      </w:r>
      <w:r>
        <w:rPr>
          <w:rFonts w:hint="eastAsia" w:ascii="仿宋_GB2312" w:hAnsi="仿宋_GB2312" w:eastAsia="仿宋_GB2312" w:cs="仿宋_GB2312"/>
          <w:i w:val="0"/>
          <w:iCs w:val="0"/>
          <w:caps w:val="0"/>
          <w:color w:val="auto"/>
          <w:spacing w:val="0"/>
          <w:sz w:val="32"/>
          <w:szCs w:val="32"/>
          <w:shd w:val="clear" w:color="auto" w:fill="FFFFFF"/>
        </w:rPr>
        <w:fldChar w:fldCharType="begin"/>
      </w:r>
      <w:r>
        <w:rPr>
          <w:rFonts w:hint="eastAsia" w:ascii="仿宋_GB2312" w:hAnsi="仿宋_GB2312" w:eastAsia="仿宋_GB2312" w:cs="仿宋_GB2312"/>
          <w:i w:val="0"/>
          <w:iCs w:val="0"/>
          <w:caps w:val="0"/>
          <w:color w:val="auto"/>
          <w:spacing w:val="0"/>
          <w:sz w:val="32"/>
          <w:szCs w:val="32"/>
          <w:shd w:val="clear" w:color="auto" w:fill="FFFFFF"/>
        </w:rPr>
        <w:instrText xml:space="preserve"> HYPERLINK "https://baike.baidu.com/item/%E5%8F%91%E5%B1%95%E6%A8%A1%E5%BC%8F/714705?fromModule=lemma_inlink" \t "https://baike.baidu.com/item/%E6%97%A0%E5%BA%9F%E5%9F%8E%E5%B8%82/_blank" </w:instrText>
      </w:r>
      <w:r>
        <w:rPr>
          <w:rFonts w:hint="eastAsia" w:ascii="仿宋_GB2312" w:hAnsi="仿宋_GB2312" w:eastAsia="仿宋_GB2312" w:cs="仿宋_GB2312"/>
          <w:i w:val="0"/>
          <w:iCs w:val="0"/>
          <w:caps w:val="0"/>
          <w:color w:val="auto"/>
          <w:spacing w:val="0"/>
          <w:sz w:val="32"/>
          <w:szCs w:val="32"/>
          <w:shd w:val="clear" w:color="auto" w:fill="FFFFFF"/>
        </w:rPr>
        <w:fldChar w:fldCharType="separate"/>
      </w:r>
      <w:r>
        <w:rPr>
          <w:rFonts w:hint="eastAsia" w:ascii="仿宋_GB2312" w:hAnsi="仿宋_GB2312" w:eastAsia="仿宋_GB2312" w:cs="仿宋_GB2312"/>
          <w:i w:val="0"/>
          <w:iCs w:val="0"/>
          <w:caps w:val="0"/>
          <w:color w:val="auto"/>
          <w:spacing w:val="0"/>
          <w:sz w:val="32"/>
          <w:szCs w:val="32"/>
          <w:shd w:val="clear" w:color="auto" w:fill="FFFFFF"/>
        </w:rPr>
        <w:t>发展模式</w:t>
      </w:r>
      <w:r>
        <w:rPr>
          <w:rFonts w:hint="eastAsia" w:ascii="仿宋_GB2312" w:hAnsi="仿宋_GB2312" w:eastAsia="仿宋_GB2312" w:cs="仿宋_GB2312"/>
          <w:i w:val="0"/>
          <w:iCs w:val="0"/>
          <w:caps w:val="0"/>
          <w:color w:val="auto"/>
          <w:spacing w:val="0"/>
          <w:sz w:val="32"/>
          <w:szCs w:val="32"/>
          <w:shd w:val="clear" w:color="auto" w:fill="FFFFFF"/>
        </w:rPr>
        <w:fldChar w:fldCharType="end"/>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根据《“十四五”时期“无废城市”建设工作方案》《山东省“无废城市”建设工作方案》</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济南市“无废城市”建设实施方案（2022-2025年）</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要求，结合我</w:t>
      </w:r>
      <w:r>
        <w:rPr>
          <w:rFonts w:hint="eastAsia" w:ascii="仿宋_GB2312" w:hAnsi="仿宋_GB2312" w:eastAsia="仿宋_GB2312" w:cs="仿宋_GB2312"/>
          <w:i w:val="0"/>
          <w:iCs w:val="0"/>
          <w:caps w:val="0"/>
          <w:color w:val="auto"/>
          <w:spacing w:val="0"/>
          <w:sz w:val="32"/>
          <w:szCs w:val="32"/>
          <w:shd w:val="clear" w:color="auto" w:fill="FFFFFF"/>
          <w:lang w:eastAsia="zh-CN"/>
        </w:rPr>
        <w:t>区</w:t>
      </w:r>
      <w:r>
        <w:rPr>
          <w:rFonts w:hint="eastAsia" w:ascii="仿宋_GB2312" w:hAnsi="仿宋_GB2312" w:eastAsia="仿宋_GB2312" w:cs="仿宋_GB2312"/>
          <w:i w:val="0"/>
          <w:iCs w:val="0"/>
          <w:caps w:val="0"/>
          <w:color w:val="auto"/>
          <w:spacing w:val="0"/>
          <w:sz w:val="32"/>
          <w:szCs w:val="32"/>
          <w:shd w:val="clear" w:color="auto" w:fill="FFFFFF"/>
        </w:rPr>
        <w:t>实际，制定本方案。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3" w:firstLineChars="200"/>
        <w:jc w:val="both"/>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shd w:val="clear" w:color="auto" w:fill="FFFFFF"/>
        </w:rPr>
        <w:t>一、总体要求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一）指导思想。以习近平新时代中国特色社会主义思想为指导，全面贯彻党的二十大精神，认真落实习近平总书记对山东、对济南工作的重要指示要求，立足新发展阶段，完整、准确、全面贯彻新发展理念，服务和融入新发展格局，统筹城市发展与固体废物管理，完善制度、技术、市场、监管四大体系，建立固体废物产生强度低、循环利用水平高、填埋处置量少、环境风险小的长效管理机制，推进固体废物领域治理体系和治理能力现代化，提升城市生态环境质量和精细化管理水平，实现减污降碳协同增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（二）基本原则。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坚持问题导向，注重创新驱动。着力解决当前固体废物产生量大、利用不畅、非法转移倾倒等突出问题，统筹解决本地实际问题与共性难题，加快制度、机制和模式创新，推动实现重点突破与整体创新，促进形成“无废城市”建设长效机制。协同推进黄河流域生态保护和高质量发展、新旧动能转换、碳达峰碳中和等重大战略实施，实现减污降碳协同增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坚持因地制宜，注重分类施策。根据区域产业结构、发展阶段，重点识别主要固体废物在产生、收集、转移、利用、处置等过程中的薄弱点和关键环节，紧密结合本地实际，明确目标，细化任务，完善措施，精准发力，持续提升城市固体废物减量化、资源化、无害化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坚持系统集成，注重协同联动。围绕"无废城市”建设目标，系统集成固体废物领域相关示范经验做法。坚持政府引导和市场主导相结合，提升固体废物综合管理水平与推进供给侧结构性改革相衔接，推动实现生产、流通、消费各环节绿色化、循环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三）建设目标。到2025年，统筹城市发展与固体废物管理，推进提升固体废物治理体系和治理能力，以创新、协调、绿色、开放、共享的新发展理念为引领，以固体废物减量化、资源化为重点，全面形成“全类型、全覆盖、全过程”的固体废物分类处置和资源化利用体系，减污降碳协同增效作用初步显现</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rPr>
        <w:t>“无废城市”四大体系基本建立，“无废”理念得到广泛认同。到2035年，固体废物产生强度显著下降，各类固体废物全部得到安全利用处置，减污降碳成效显著</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（四）指标体系。按照《“无废城市”建设指标体系（2021年版）》要求，建立“无废城市”建设指标体系，包括5个一级指标、17个二级指标和</w:t>
      </w:r>
      <w:r>
        <w:rPr>
          <w:rFonts w:hint="eastAsia" w:ascii="仿宋_GB2312" w:hAnsi="仿宋_GB2312" w:eastAsia="仿宋_GB2312" w:cs="仿宋_GB2312"/>
          <w:i w:val="0"/>
          <w:iCs w:val="0"/>
          <w:caps w:val="0"/>
          <w:color w:val="auto"/>
          <w:spacing w:val="0"/>
          <w:sz w:val="32"/>
          <w:szCs w:val="32"/>
          <w:shd w:val="clear" w:color="auto" w:fill="FFFFFF"/>
          <w:lang w:val="en-US" w:eastAsia="zh-CN"/>
        </w:rPr>
        <w:t>56</w:t>
      </w:r>
      <w:r>
        <w:rPr>
          <w:rFonts w:hint="eastAsia" w:ascii="仿宋_GB2312" w:hAnsi="仿宋_GB2312" w:eastAsia="仿宋_GB2312" w:cs="仿宋_GB2312"/>
          <w:i w:val="0"/>
          <w:iCs w:val="0"/>
          <w:caps w:val="0"/>
          <w:color w:val="auto"/>
          <w:spacing w:val="0"/>
          <w:sz w:val="32"/>
          <w:szCs w:val="32"/>
          <w:shd w:val="clear" w:color="auto" w:fill="FFFFFF"/>
        </w:rPr>
        <w:t>个三级指标。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（五）实施范围及时间。本方案适用于我</w:t>
      </w:r>
      <w:r>
        <w:rPr>
          <w:rFonts w:hint="eastAsia" w:ascii="仿宋_GB2312" w:hAnsi="仿宋_GB2312" w:eastAsia="仿宋_GB2312" w:cs="仿宋_GB2312"/>
          <w:i w:val="0"/>
          <w:iCs w:val="0"/>
          <w:caps w:val="0"/>
          <w:color w:val="auto"/>
          <w:spacing w:val="0"/>
          <w:sz w:val="32"/>
          <w:szCs w:val="32"/>
          <w:shd w:val="clear" w:color="auto" w:fill="FFFFFF"/>
          <w:lang w:eastAsia="zh-CN"/>
        </w:rPr>
        <w:t>区</w:t>
      </w:r>
      <w:r>
        <w:rPr>
          <w:rFonts w:hint="eastAsia" w:ascii="仿宋_GB2312" w:hAnsi="仿宋_GB2312" w:eastAsia="仿宋_GB2312" w:cs="仿宋_GB2312"/>
          <w:i w:val="0"/>
          <w:iCs w:val="0"/>
          <w:caps w:val="0"/>
          <w:color w:val="auto"/>
          <w:spacing w:val="0"/>
          <w:sz w:val="32"/>
          <w:szCs w:val="32"/>
          <w:shd w:val="clear" w:color="auto" w:fill="FFFFFF"/>
        </w:rPr>
        <w:t>行政管辖区域，方案编制基准年为2020年，建设时限为2022—2025年。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3" w:firstLineChars="200"/>
        <w:jc w:val="both"/>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shd w:val="clear" w:color="auto" w:fill="FFFFFF"/>
        </w:rPr>
        <w:t>二、重点任务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（一）</w:t>
      </w:r>
      <w:r>
        <w:rPr>
          <w:rFonts w:hint="eastAsia" w:ascii="仿宋_GB2312" w:hAnsi="仿宋_GB2312" w:eastAsia="仿宋_GB2312" w:cs="仿宋_GB2312"/>
          <w:i w:val="0"/>
          <w:iCs w:val="0"/>
          <w:caps w:val="0"/>
          <w:color w:val="auto"/>
          <w:spacing w:val="0"/>
          <w:sz w:val="32"/>
          <w:szCs w:val="32"/>
          <w:shd w:val="clear" w:color="auto" w:fill="FFFFFF"/>
          <w:lang w:val="en-US" w:eastAsia="zh-CN"/>
        </w:rPr>
        <w:t>突出重点</w:t>
      </w:r>
      <w:r>
        <w:rPr>
          <w:rFonts w:hint="eastAsia" w:ascii="仿宋_GB2312" w:hAnsi="仿宋_GB2312" w:eastAsia="仿宋_GB2312" w:cs="仿宋_GB2312"/>
          <w:i w:val="0"/>
          <w:iCs w:val="0"/>
          <w:caps w:val="0"/>
          <w:color w:val="auto"/>
          <w:spacing w:val="0"/>
          <w:sz w:val="32"/>
          <w:szCs w:val="32"/>
          <w:shd w:val="clear" w:color="auto" w:fill="FFFFFF"/>
        </w:rPr>
        <w:t>推进“无废城市”建设。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1.</w:t>
      </w:r>
      <w:r>
        <w:rPr>
          <w:rFonts w:hint="eastAsia" w:ascii="仿宋_GB2312" w:hAnsi="仿宋_GB2312" w:eastAsia="仿宋_GB2312" w:cs="仿宋_GB2312"/>
          <w:i w:val="0"/>
          <w:iCs w:val="0"/>
          <w:caps w:val="0"/>
          <w:color w:val="auto"/>
          <w:spacing w:val="0"/>
          <w:sz w:val="32"/>
          <w:szCs w:val="32"/>
          <w:shd w:val="clear" w:color="auto" w:fill="FFFFFF"/>
          <w:lang w:val="en-US" w:eastAsia="zh-CN"/>
        </w:rPr>
        <w:t>优化固体废物管理体制机制，强化部门分工协作。根据城市经济社会发展实际，建立部门单位责任清单，进一步明确各类固体废物产生、收集、转移、利用、处置等环节的部门职责边界，提升监管能力，形成分工明确、权责明晰、协同增效的综合管理体制机制</w:t>
      </w:r>
      <w:r>
        <w:rPr>
          <w:rFonts w:hint="eastAsia" w:ascii="仿宋_GB2312" w:hAnsi="仿宋_GB2312" w:eastAsia="仿宋_GB2312" w:cs="仿宋_GB2312"/>
          <w:i w:val="0"/>
          <w:iCs w:val="0"/>
          <w:caps w:val="0"/>
          <w:color w:val="auto"/>
          <w:spacing w:val="0"/>
          <w:sz w:val="32"/>
          <w:szCs w:val="32"/>
          <w:shd w:val="clear" w:color="auto" w:fill="FFFFFF"/>
        </w:rPr>
        <w:t>。将固体废物分类收集及无害化处置设施纳入环境设施和公共设施范围，保障设施用地。构建集污水、垃圾、固体废物、危险废物、医疗废物处理处置设施和监测监管能力于一体的环境基础设施体系。</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政府有关部门单位，各</w:t>
      </w:r>
      <w:r>
        <w:rPr>
          <w:rFonts w:hint="eastAsia" w:ascii="楷体" w:hAnsi="楷体" w:eastAsia="楷体" w:cs="楷体"/>
          <w:i w:val="0"/>
          <w:iCs w:val="0"/>
          <w:caps w:val="0"/>
          <w:color w:val="auto"/>
          <w:spacing w:val="0"/>
          <w:sz w:val="32"/>
          <w:szCs w:val="32"/>
          <w:shd w:val="clear" w:color="auto" w:fill="FFFFFF"/>
          <w:lang w:eastAsia="zh-CN"/>
        </w:rPr>
        <w:t>街道（镇）办事处（人民政府）</w:t>
      </w:r>
      <w:r>
        <w:rPr>
          <w:rFonts w:hint="eastAsia" w:ascii="楷体" w:hAnsi="楷体" w:eastAsia="楷体" w:cs="楷体"/>
          <w:i w:val="0"/>
          <w:iCs w:val="0"/>
          <w:caps w:val="0"/>
          <w:color w:val="auto"/>
          <w:spacing w:val="0"/>
          <w:sz w:val="32"/>
          <w:szCs w:val="32"/>
          <w:shd w:val="clear" w:color="auto" w:fill="FFFFFF"/>
        </w:rPr>
        <w:t>，以下责任单位</w:t>
      </w:r>
      <w:r>
        <w:rPr>
          <w:rFonts w:hint="eastAsia" w:ascii="楷体" w:hAnsi="楷体" w:eastAsia="楷体" w:cs="楷体"/>
          <w:i w:val="0"/>
          <w:iCs w:val="0"/>
          <w:caps w:val="0"/>
          <w:color w:val="auto"/>
          <w:spacing w:val="0"/>
          <w:sz w:val="32"/>
          <w:szCs w:val="32"/>
          <w:shd w:val="clear" w:color="auto" w:fill="FFFFFF"/>
          <w:lang w:eastAsia="zh-CN"/>
        </w:rPr>
        <w:t>均包括各街道</w:t>
      </w:r>
      <w:r>
        <w:rPr>
          <w:rFonts w:hint="eastAsia" w:ascii="楷体" w:hAnsi="楷体" w:eastAsia="楷体" w:cs="楷体"/>
          <w:i w:val="0"/>
          <w:iCs w:val="0"/>
          <w:caps w:val="0"/>
          <w:color w:val="auto"/>
          <w:spacing w:val="0"/>
          <w:sz w:val="32"/>
          <w:szCs w:val="32"/>
          <w:shd w:val="clear" w:color="auto" w:fill="FFFFFF"/>
          <w:lang w:val="en-US" w:eastAsia="zh-CN"/>
        </w:rPr>
        <w:t xml:space="preserve"> (</w:t>
      </w:r>
      <w:r>
        <w:rPr>
          <w:rFonts w:hint="eastAsia" w:ascii="楷体" w:hAnsi="楷体" w:eastAsia="楷体" w:cs="楷体"/>
          <w:i w:val="0"/>
          <w:iCs w:val="0"/>
          <w:caps w:val="0"/>
          <w:color w:val="auto"/>
          <w:spacing w:val="0"/>
          <w:sz w:val="32"/>
          <w:szCs w:val="32"/>
          <w:shd w:val="clear" w:color="auto" w:fill="FFFFFF"/>
          <w:lang w:eastAsia="zh-CN"/>
        </w:rPr>
        <w:t>镇）办事处（人民政府）</w:t>
      </w:r>
      <w:r>
        <w:rPr>
          <w:rFonts w:hint="eastAsia" w:ascii="楷体" w:hAnsi="楷体" w:eastAsia="楷体" w:cs="楷体"/>
          <w:i w:val="0"/>
          <w:iCs w:val="0"/>
          <w:caps w:val="0"/>
          <w:color w:val="auto"/>
          <w:spacing w:val="0"/>
          <w:sz w:val="32"/>
          <w:szCs w:val="32"/>
          <w:shd w:val="clear" w:color="auto" w:fill="FFFFFF"/>
        </w:rPr>
        <w:t>，不再逐一列出）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2.突出工业绿色发展特色亮点</w:t>
      </w:r>
      <w:r>
        <w:rPr>
          <w:rFonts w:hint="eastAsia" w:ascii="仿宋_GB2312" w:hAnsi="仿宋_GB2312" w:eastAsia="仿宋_GB2312" w:cs="仿宋_GB2312"/>
          <w:i w:val="0"/>
          <w:iCs w:val="0"/>
          <w:caps w:val="0"/>
          <w:color w:val="auto"/>
          <w:spacing w:val="0"/>
          <w:sz w:val="32"/>
          <w:szCs w:val="32"/>
          <w:shd w:val="clear" w:color="auto" w:fill="FFFFFF"/>
        </w:rPr>
        <w:t>。着力加强制度、技术、市场、监管四大体系建设。加快推动</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张家洼街道、鹏泉街道、口镇街道和羊里街道</w:t>
      </w:r>
      <w:r>
        <w:rPr>
          <w:rFonts w:hint="eastAsia" w:ascii="仿宋_GB2312" w:hAnsi="仿宋_GB2312" w:eastAsia="仿宋_GB2312" w:cs="仿宋_GB2312"/>
          <w:i w:val="0"/>
          <w:iCs w:val="0"/>
          <w:caps w:val="0"/>
          <w:color w:val="auto"/>
          <w:spacing w:val="0"/>
          <w:sz w:val="32"/>
          <w:szCs w:val="32"/>
          <w:highlight w:val="none"/>
          <w:shd w:val="clear" w:color="auto" w:fill="FFFFFF"/>
        </w:rPr>
        <w:t>工业绿色发展，创建“无废工厂”</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“无废园区”。补齐基础设施短</w:t>
      </w:r>
      <w:r>
        <w:rPr>
          <w:rFonts w:hint="eastAsia" w:ascii="仿宋_GB2312" w:hAnsi="仿宋_GB2312" w:eastAsia="仿宋_GB2312" w:cs="仿宋_GB2312"/>
          <w:i w:val="0"/>
          <w:iCs w:val="0"/>
          <w:caps w:val="0"/>
          <w:color w:val="auto"/>
          <w:spacing w:val="0"/>
          <w:sz w:val="32"/>
          <w:szCs w:val="32"/>
          <w:shd w:val="clear" w:color="auto" w:fill="FFFFFF"/>
        </w:rPr>
        <w:t>板，加大固废处置设施建设。</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政府有关部门单位）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落实</w:t>
      </w:r>
      <w:r>
        <w:rPr>
          <w:rFonts w:hint="eastAsia" w:ascii="仿宋_GB2312" w:hAnsi="仿宋_GB2312" w:eastAsia="仿宋_GB2312" w:cs="仿宋_GB2312"/>
          <w:i w:val="0"/>
          <w:iCs w:val="0"/>
          <w:caps w:val="0"/>
          <w:color w:val="auto"/>
          <w:spacing w:val="0"/>
          <w:sz w:val="32"/>
          <w:szCs w:val="32"/>
          <w:shd w:val="clear" w:color="auto" w:fill="FFFFFF"/>
        </w:rPr>
        <w:t>黄河流域生态保护和高质量发展。落实《</w:t>
      </w:r>
      <w:r>
        <w:rPr>
          <w:rFonts w:hint="eastAsia" w:ascii="仿宋_GB2312" w:hAnsi="仿宋_GB2312" w:eastAsia="仿宋_GB2312" w:cs="仿宋_GB2312"/>
          <w:i w:val="0"/>
          <w:iCs w:val="0"/>
          <w:caps w:val="0"/>
          <w:color w:val="auto"/>
          <w:spacing w:val="0"/>
          <w:sz w:val="32"/>
          <w:szCs w:val="32"/>
          <w:shd w:val="clear" w:color="auto" w:fill="FFFFFF"/>
          <w:lang w:eastAsia="zh-CN"/>
        </w:rPr>
        <w:t>莱芜区</w:t>
      </w:r>
      <w:r>
        <w:rPr>
          <w:rFonts w:hint="eastAsia" w:ascii="仿宋_GB2312" w:hAnsi="仿宋_GB2312" w:eastAsia="仿宋_GB2312" w:cs="仿宋_GB2312"/>
          <w:i w:val="0"/>
          <w:iCs w:val="0"/>
          <w:caps w:val="0"/>
          <w:color w:val="auto"/>
          <w:spacing w:val="0"/>
          <w:sz w:val="32"/>
          <w:szCs w:val="32"/>
          <w:shd w:val="clear" w:color="auto" w:fill="FFFFFF"/>
        </w:rPr>
        <w:t>黄河流域生态保护和高质量发展规划》任务要求。推进固体废物污染防治协同控制，通过“三化”助力减污降碳协同增效。实施新一轮“四减四增”行动，深入推进产业、能源、运输和农业投入结构调整。</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政府有关部门单位）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（二）</w:t>
      </w:r>
      <w:r>
        <w:rPr>
          <w:rFonts w:hint="eastAsia" w:ascii="仿宋_GB2312" w:hAnsi="仿宋_GB2312" w:eastAsia="仿宋_GB2312" w:cs="仿宋_GB2312"/>
          <w:i w:val="0"/>
          <w:iCs w:val="0"/>
          <w:caps w:val="0"/>
          <w:color w:val="auto"/>
          <w:spacing w:val="0"/>
          <w:sz w:val="32"/>
          <w:szCs w:val="32"/>
          <w:shd w:val="clear" w:color="auto" w:fill="FFFFFF"/>
          <w:lang w:val="en-US" w:eastAsia="zh-CN"/>
        </w:rPr>
        <w:t>创建</w:t>
      </w:r>
      <w:r>
        <w:rPr>
          <w:rFonts w:hint="eastAsia" w:ascii="仿宋_GB2312" w:hAnsi="仿宋_GB2312" w:eastAsia="仿宋_GB2312" w:cs="仿宋_GB2312"/>
          <w:i w:val="0"/>
          <w:iCs w:val="0"/>
          <w:caps w:val="0"/>
          <w:color w:val="auto"/>
          <w:spacing w:val="0"/>
          <w:sz w:val="32"/>
          <w:szCs w:val="32"/>
          <w:shd w:val="clear" w:color="auto" w:fill="FFFFFF"/>
        </w:rPr>
        <w:t>“无废细胞”。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1.“无废</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工业</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“无废集团”（“无废工厂”）建设。坚持固体废物减量化、资源化、无害化的原则，</w:t>
      </w:r>
      <w:r>
        <w:rPr>
          <w:rFonts w:hint="eastAsia" w:ascii="仿宋_GB2312" w:hAnsi="仿宋_GB2312" w:eastAsia="仿宋_GB2312" w:cs="仿宋_GB2312"/>
          <w:i w:val="0"/>
          <w:iCs w:val="0"/>
          <w:caps w:val="0"/>
          <w:color w:val="auto"/>
          <w:spacing w:val="0"/>
          <w:sz w:val="32"/>
          <w:szCs w:val="32"/>
          <w:shd w:val="clear" w:color="auto" w:fill="FFFFFF"/>
          <w:lang w:eastAsia="zh-CN"/>
        </w:rPr>
        <w:t>依托山东泰山钢铁集团有限公司、山东九羊集团有限公司</w:t>
      </w:r>
      <w:r>
        <w:rPr>
          <w:rFonts w:hint="eastAsia" w:ascii="仿宋_GB2312" w:hAnsi="仿宋_GB2312" w:eastAsia="仿宋_GB2312" w:cs="仿宋_GB2312"/>
          <w:i w:val="0"/>
          <w:iCs w:val="0"/>
          <w:caps w:val="0"/>
          <w:color w:val="auto"/>
          <w:spacing w:val="0"/>
          <w:sz w:val="32"/>
          <w:szCs w:val="32"/>
          <w:shd w:val="clear" w:color="auto" w:fill="FFFFFF"/>
        </w:rPr>
        <w:t>等，</w:t>
      </w:r>
      <w:r>
        <w:rPr>
          <w:rFonts w:hint="eastAsia" w:ascii="仿宋_GB2312" w:hAnsi="仿宋_GB2312" w:eastAsia="仿宋_GB2312" w:cs="仿宋_GB2312"/>
          <w:i w:val="0"/>
          <w:iCs w:val="0"/>
          <w:caps w:val="0"/>
          <w:color w:val="auto"/>
          <w:spacing w:val="0"/>
          <w:sz w:val="32"/>
          <w:szCs w:val="32"/>
          <w:shd w:val="clear" w:color="auto" w:fill="FFFFFF"/>
          <w:lang w:eastAsia="zh-CN"/>
        </w:rPr>
        <w:t>最大限度地</w:t>
      </w:r>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FFFFFF"/>
          <w:lang w:eastAsia="zh-CN"/>
        </w:rPr>
        <w:t>利用原材料，精简工业流程，控制损耗，并将废材料转化为有用物质，通过回收、循环利用和废弃物再利用等方式，</w:t>
      </w:r>
      <w:r>
        <w:rPr>
          <w:rFonts w:hint="eastAsia" w:ascii="仿宋_GB2312" w:hAnsi="仿宋_GB2312" w:eastAsia="仿宋_GB2312" w:cs="仿宋_GB2312"/>
          <w:i w:val="0"/>
          <w:iCs w:val="0"/>
          <w:caps w:val="0"/>
          <w:color w:val="auto"/>
          <w:spacing w:val="0"/>
          <w:sz w:val="32"/>
          <w:szCs w:val="32"/>
          <w:shd w:val="clear" w:color="auto" w:fill="FFFFFF"/>
        </w:rPr>
        <w:t>实现固体废物能减则减、可用尽用、应分尽分的管理模式。2025年年底前，建设</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家以上“无废集团”（“无废工厂”）。</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工业和信息化局）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“无废园区”建设。省级工业园区通过强化“源头—过程—末端”全链条处理，形成工业固体废物监管闭环</w:t>
      </w:r>
      <w:r>
        <w:rPr>
          <w:rFonts w:hint="eastAsia" w:ascii="仿宋_GB2312" w:hAnsi="仿宋_GB2312" w:eastAsia="仿宋_GB2312" w:cs="仿宋_GB2312"/>
          <w:i w:val="0"/>
          <w:iCs w:val="0"/>
          <w:caps w:val="0"/>
          <w:color w:val="auto"/>
          <w:spacing w:val="0"/>
          <w:sz w:val="32"/>
          <w:szCs w:val="32"/>
          <w:shd w:val="clear" w:color="auto" w:fill="FFFFFF"/>
          <w:lang w:eastAsia="zh-CN"/>
        </w:rPr>
        <w:t>，提升工业固体废物就地资源化效率，加快构建工业固体废物综合利用新发展格局，推进工业绿色低碳循环发展</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发展改革</w:t>
      </w:r>
      <w:r>
        <w:rPr>
          <w:rFonts w:hint="eastAsia" w:ascii="楷体" w:hAnsi="楷体" w:eastAsia="楷体" w:cs="楷体"/>
          <w:i w:val="0"/>
          <w:iCs w:val="0"/>
          <w:caps w:val="0"/>
          <w:color w:val="auto"/>
          <w:spacing w:val="0"/>
          <w:sz w:val="32"/>
          <w:szCs w:val="32"/>
          <w:shd w:val="clear" w:color="auto" w:fill="FFFFFF"/>
          <w:lang w:eastAsia="zh-CN"/>
        </w:rPr>
        <w:t>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工业和信息化局）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2.“无废”第三产业与生活。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建设服务业“无废细胞”。以城区为重点，结合“无废细胞”建设要求，</w:t>
      </w:r>
      <w:r>
        <w:rPr>
          <w:rFonts w:hint="eastAsia" w:ascii="仿宋_GB2312" w:hAnsi="仿宋_GB2312" w:eastAsia="仿宋_GB2312" w:cs="仿宋_GB2312"/>
          <w:i w:val="0"/>
          <w:iCs w:val="0"/>
          <w:caps w:val="0"/>
          <w:color w:val="auto"/>
          <w:spacing w:val="0"/>
          <w:sz w:val="32"/>
          <w:szCs w:val="32"/>
          <w:shd w:val="clear" w:color="auto" w:fill="FFFFFF"/>
          <w:lang w:eastAsia="zh-CN"/>
        </w:rPr>
        <w:t>高效落实</w:t>
      </w:r>
      <w:r>
        <w:rPr>
          <w:rFonts w:hint="eastAsia" w:ascii="仿宋_GB2312" w:hAnsi="仿宋_GB2312" w:eastAsia="仿宋_GB2312" w:cs="仿宋_GB2312"/>
          <w:i w:val="0"/>
          <w:iCs w:val="0"/>
          <w:caps w:val="0"/>
          <w:color w:val="auto"/>
          <w:spacing w:val="0"/>
          <w:sz w:val="32"/>
          <w:szCs w:val="32"/>
          <w:shd w:val="clear" w:color="auto" w:fill="FFFFFF"/>
        </w:rPr>
        <w:t>生活垃圾分类</w:t>
      </w:r>
      <w:r>
        <w:rPr>
          <w:rFonts w:hint="eastAsia" w:ascii="仿宋_GB2312" w:hAnsi="仿宋_GB2312" w:eastAsia="仿宋_GB2312" w:cs="仿宋_GB2312"/>
          <w:i w:val="0"/>
          <w:iCs w:val="0"/>
          <w:caps w:val="0"/>
          <w:color w:val="auto"/>
          <w:spacing w:val="0"/>
          <w:sz w:val="32"/>
          <w:szCs w:val="32"/>
          <w:shd w:val="clear" w:color="auto" w:fill="FFFFFF"/>
          <w:lang w:eastAsia="zh-CN"/>
        </w:rPr>
        <w:t>工作</w:t>
      </w:r>
      <w:r>
        <w:rPr>
          <w:rFonts w:hint="eastAsia" w:ascii="仿宋_GB2312" w:hAnsi="仿宋_GB2312" w:eastAsia="仿宋_GB2312" w:cs="仿宋_GB2312"/>
          <w:i w:val="0"/>
          <w:iCs w:val="0"/>
          <w:caps w:val="0"/>
          <w:color w:val="auto"/>
          <w:spacing w:val="0"/>
          <w:sz w:val="32"/>
          <w:szCs w:val="32"/>
          <w:shd w:val="clear" w:color="auto" w:fill="FFFFFF"/>
        </w:rPr>
        <w:t>，进一步</w:t>
      </w:r>
      <w:r>
        <w:rPr>
          <w:rFonts w:hint="eastAsia" w:ascii="仿宋_GB2312" w:hAnsi="仿宋_GB2312" w:eastAsia="仿宋_GB2312" w:cs="仿宋_GB2312"/>
          <w:i w:val="0"/>
          <w:iCs w:val="0"/>
          <w:caps w:val="0"/>
          <w:color w:val="auto"/>
          <w:spacing w:val="0"/>
          <w:sz w:val="32"/>
          <w:szCs w:val="32"/>
          <w:shd w:val="clear" w:color="auto" w:fill="FFFFFF"/>
          <w:lang w:eastAsia="zh-CN"/>
        </w:rPr>
        <w:t>完善</w:t>
      </w:r>
      <w:r>
        <w:rPr>
          <w:rFonts w:hint="eastAsia" w:ascii="仿宋_GB2312" w:hAnsi="仿宋_GB2312" w:eastAsia="仿宋_GB2312" w:cs="仿宋_GB2312"/>
          <w:i w:val="0"/>
          <w:iCs w:val="0"/>
          <w:caps w:val="0"/>
          <w:color w:val="auto"/>
          <w:spacing w:val="0"/>
          <w:sz w:val="32"/>
          <w:szCs w:val="32"/>
          <w:shd w:val="clear" w:color="auto" w:fill="FFFFFF"/>
        </w:rPr>
        <w:t>厨余垃圾“集中+就地”处理体系。2025年年底前，引导培育一批“无废景区”</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“无废商超”和“无废酒店”。</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市场监管局、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文化和旅游局、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城管局）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共享共建“无废”生活。广泛宣传无废理念</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健全基础设施</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推行垃圾分类</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倡导绿色生产和绿色生活。以“无废学校”为重点，开展“无废城市”宣传教育，鼓励学生参与“无废”知识学习和实践活动，带动家庭、社区和社会广泛参与，传播“无废”新理念。2025年年底前，打造建设一批“无废学校”“无废机关”和“无废社区”。</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区教育和体育局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区住房城乡建设局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城管局、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机关事务服务中心）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“无废”农村。加强农村废弃物分类收集工作</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rPr>
        <w:t>以生活垃圾分类为重点，建立起完善的废弃物分类体系，2025年年底前，建成150个以生活垃圾分类为特色的村庄（责任单位：区城管局）。以农业固体废物资源化利用为重点，探索开展畜禽粪污、农业生产废弃物等就近就地资源化利用工作，2025年年底前，建设</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个以农业固体废物资源化利用为特色的村庄</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农业农村局）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（三）推动工业绿色低碳生产。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1.</w:t>
      </w:r>
      <w:r>
        <w:rPr>
          <w:rFonts w:hint="eastAsia" w:ascii="仿宋_GB2312" w:hAnsi="仿宋_GB2312" w:eastAsia="仿宋_GB2312" w:cs="仿宋_GB2312"/>
          <w:i w:val="0"/>
          <w:iCs w:val="0"/>
          <w:caps w:val="0"/>
          <w:color w:val="auto"/>
          <w:spacing w:val="0"/>
          <w:sz w:val="32"/>
          <w:szCs w:val="32"/>
          <w:shd w:val="clear" w:color="auto" w:fill="FFFFFF"/>
          <w:lang w:eastAsia="zh-CN"/>
        </w:rPr>
        <w:t>推动</w:t>
      </w:r>
      <w:r>
        <w:rPr>
          <w:rFonts w:hint="eastAsia" w:ascii="仿宋_GB2312" w:hAnsi="仿宋_GB2312" w:eastAsia="仿宋_GB2312" w:cs="仿宋_GB2312"/>
          <w:i w:val="0"/>
          <w:iCs w:val="0"/>
          <w:caps w:val="0"/>
          <w:color w:val="auto"/>
          <w:spacing w:val="0"/>
          <w:sz w:val="32"/>
          <w:szCs w:val="32"/>
          <w:shd w:val="clear" w:color="auto" w:fill="FFFFFF"/>
        </w:rPr>
        <w:t>工业</w:t>
      </w:r>
      <w:r>
        <w:rPr>
          <w:rFonts w:hint="eastAsia" w:ascii="仿宋_GB2312" w:hAnsi="仿宋_GB2312" w:eastAsia="仿宋_GB2312" w:cs="仿宋_GB2312"/>
          <w:i w:val="0"/>
          <w:iCs w:val="0"/>
          <w:caps w:val="0"/>
          <w:color w:val="auto"/>
          <w:spacing w:val="0"/>
          <w:sz w:val="32"/>
          <w:szCs w:val="32"/>
          <w:shd w:val="clear" w:color="auto" w:fill="FFFFFF"/>
          <w:lang w:eastAsia="zh-CN"/>
        </w:rPr>
        <w:t>固体废物</w:t>
      </w:r>
      <w:r>
        <w:rPr>
          <w:rFonts w:hint="eastAsia" w:ascii="仿宋_GB2312" w:hAnsi="仿宋_GB2312" w:eastAsia="仿宋_GB2312" w:cs="仿宋_GB2312"/>
          <w:i w:val="0"/>
          <w:iCs w:val="0"/>
          <w:caps w:val="0"/>
          <w:color w:val="auto"/>
          <w:spacing w:val="0"/>
          <w:sz w:val="32"/>
          <w:szCs w:val="32"/>
          <w:shd w:val="clear" w:color="auto" w:fill="FFFFFF"/>
        </w:rPr>
        <w:t>源头减量。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持续推动优化和结构调整。</w:t>
      </w:r>
      <w:r>
        <w:rPr>
          <w:rFonts w:hint="eastAsia" w:ascii="仿宋_GB2312" w:hAnsi="仿宋_GB2312" w:eastAsia="仿宋_GB2312" w:cs="仿宋_GB2312"/>
          <w:i w:val="0"/>
          <w:iCs w:val="0"/>
          <w:caps w:val="0"/>
          <w:color w:val="auto"/>
          <w:spacing w:val="0"/>
          <w:sz w:val="32"/>
          <w:szCs w:val="32"/>
          <w:shd w:val="clear" w:color="auto" w:fill="FFFFFF"/>
        </w:rPr>
        <w:t>以钢铁、焦化、火电、采矿等行业为重点，推动传统产业转型升级</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遏制“两高”项目盲目发展。严格执行环保、质量、技术、能耗、安全等标准，依法依规推动落后产能加速退出。严格落实煤炭消费压减方案，从严控制新上高耗煤项目，积极推进清洁能源供给。</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区发展改革局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工业和信息化局、</w:t>
      </w:r>
      <w:r>
        <w:rPr>
          <w:rFonts w:hint="eastAsia" w:ascii="楷体" w:hAnsi="楷体" w:eastAsia="楷体" w:cs="楷体"/>
          <w:i w:val="0"/>
          <w:iCs w:val="0"/>
          <w:caps w:val="0"/>
          <w:color w:val="auto"/>
          <w:spacing w:val="0"/>
          <w:sz w:val="32"/>
          <w:szCs w:val="32"/>
          <w:shd w:val="clear" w:color="auto" w:fill="FFFFFF"/>
          <w:lang w:eastAsia="zh-CN"/>
        </w:rPr>
        <w:t>区自然资源局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应急局、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市场监管局</w:t>
      </w:r>
      <w:r>
        <w:rPr>
          <w:rFonts w:hint="eastAsia" w:ascii="楷体" w:hAnsi="楷体" w:eastAsia="楷体" w:cs="楷体"/>
          <w:i w:val="0"/>
          <w:iCs w:val="0"/>
          <w:caps w:val="0"/>
          <w:color w:val="auto"/>
          <w:spacing w:val="0"/>
          <w:sz w:val="32"/>
          <w:szCs w:val="32"/>
          <w:shd w:val="clear" w:color="auto" w:fill="FFFFFF"/>
          <w:lang w:eastAsia="zh-CN"/>
        </w:rPr>
        <w:t>、区城市规划协调服务中心</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全面推行清洁生产。引导工业企业开展自愿性清洁生产审核，依法实施强制性清洁生产审核。</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谋划</w:t>
      </w:r>
      <w:r>
        <w:rPr>
          <w:rFonts w:hint="eastAsia" w:ascii="仿宋_GB2312" w:hAnsi="仿宋_GB2312" w:eastAsia="仿宋_GB2312" w:cs="仿宋_GB2312"/>
          <w:i w:val="0"/>
          <w:iCs w:val="0"/>
          <w:caps w:val="0"/>
          <w:color w:val="auto"/>
          <w:spacing w:val="0"/>
          <w:sz w:val="32"/>
          <w:szCs w:val="32"/>
          <w:shd w:val="clear" w:color="auto" w:fill="FFFFFF"/>
        </w:rPr>
        <w:t>绿色制造体系</w:t>
      </w:r>
      <w:r>
        <w:rPr>
          <w:rFonts w:hint="eastAsia" w:ascii="仿宋_GB2312" w:hAnsi="仿宋_GB2312" w:eastAsia="仿宋_GB2312" w:cs="仿宋_GB2312"/>
          <w:i w:val="0"/>
          <w:iCs w:val="0"/>
          <w:caps w:val="0"/>
          <w:color w:val="auto"/>
          <w:spacing w:val="0"/>
          <w:sz w:val="32"/>
          <w:szCs w:val="32"/>
          <w:shd w:val="clear" w:color="auto" w:fill="FFFFFF"/>
          <w:lang w:eastAsia="zh-CN"/>
        </w:rPr>
        <w:t>创建</w:t>
      </w:r>
      <w:r>
        <w:rPr>
          <w:rFonts w:hint="eastAsia" w:ascii="仿宋_GB2312" w:hAnsi="仿宋_GB2312" w:eastAsia="仿宋_GB2312" w:cs="仿宋_GB2312"/>
          <w:i w:val="0"/>
          <w:iCs w:val="0"/>
          <w:caps w:val="0"/>
          <w:color w:val="auto"/>
          <w:spacing w:val="0"/>
          <w:sz w:val="32"/>
          <w:szCs w:val="32"/>
          <w:shd w:val="clear" w:color="auto" w:fill="FFFFFF"/>
        </w:rPr>
        <w:t>。持续推动绿色设计产品、绿色工厂和绿色工业园区（产业集群、产业集聚区）评审认定，并对通过绿色认证的工厂和园区持续跟踪监管。深入实施绿色制造，构建从基础原材料到终端消费品全链条的绿色产品供给体系。在大型绿色工厂实施绿色供应链管理，带动上下游企业实现绿色发展。到2025年，工业绿色发展能级显著提升，创建省级及以上绿色工厂</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家、绿色设计产品</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种。</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工业和信息化局）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推动重点行业源头减量。以钢铁、采矿、化工等行业为重点，推动技术升级，降低固体废物产生强度，实现冶炼废渣、粉煤灰、炉渣、尾矿、煤矸石、污泥等固体废物源头减量。</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区发展改革局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工业和信息化局、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自然资源局、</w:t>
      </w:r>
      <w:r>
        <w:rPr>
          <w:rFonts w:hint="eastAsia" w:ascii="楷体" w:hAnsi="楷体" w:eastAsia="楷体" w:cs="楷体"/>
          <w:i w:val="0"/>
          <w:iCs w:val="0"/>
          <w:caps w:val="0"/>
          <w:color w:val="auto"/>
          <w:spacing w:val="0"/>
          <w:sz w:val="32"/>
          <w:szCs w:val="32"/>
          <w:shd w:val="clear" w:color="auto" w:fill="FFFFFF"/>
          <w:lang w:eastAsia="zh-CN"/>
        </w:rPr>
        <w:t>区住房城乡建设局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推进</w:t>
      </w:r>
      <w:r>
        <w:rPr>
          <w:rFonts w:hint="eastAsia" w:ascii="仿宋_GB2312" w:hAnsi="仿宋_GB2312" w:eastAsia="仿宋_GB2312" w:cs="仿宋_GB2312"/>
          <w:i w:val="0"/>
          <w:iCs w:val="0"/>
          <w:caps w:val="0"/>
          <w:color w:val="auto"/>
          <w:spacing w:val="0"/>
          <w:sz w:val="32"/>
          <w:szCs w:val="32"/>
          <w:shd w:val="clear" w:color="auto" w:fill="FFFFFF"/>
        </w:rPr>
        <w:t>重点企业</w:t>
      </w:r>
      <w:r>
        <w:rPr>
          <w:rFonts w:hint="eastAsia" w:ascii="仿宋_GB2312" w:hAnsi="仿宋_GB2312" w:eastAsia="仿宋_GB2312" w:cs="仿宋_GB2312"/>
          <w:i w:val="0"/>
          <w:iCs w:val="0"/>
          <w:caps w:val="0"/>
          <w:color w:val="auto"/>
          <w:spacing w:val="0"/>
          <w:sz w:val="32"/>
          <w:szCs w:val="32"/>
          <w:shd w:val="clear" w:color="auto" w:fill="FFFFFF"/>
          <w:lang w:eastAsia="zh-CN"/>
        </w:rPr>
        <w:t>完成工业固体废物减量计划。</w:t>
      </w:r>
      <w:r>
        <w:rPr>
          <w:rFonts w:hint="eastAsia" w:ascii="仿宋_GB2312" w:hAnsi="仿宋_GB2312" w:eastAsia="仿宋_GB2312" w:cs="仿宋_GB2312"/>
          <w:i w:val="0"/>
          <w:iCs w:val="0"/>
          <w:caps w:val="0"/>
          <w:color w:val="auto"/>
          <w:spacing w:val="0"/>
          <w:sz w:val="32"/>
          <w:szCs w:val="32"/>
          <w:shd w:val="clear" w:color="auto" w:fill="FFFFFF"/>
        </w:rPr>
        <w:t>“十四五”期间，组织</w:t>
      </w:r>
      <w:r>
        <w:rPr>
          <w:rFonts w:hint="eastAsia" w:ascii="仿宋_GB2312" w:hAnsi="仿宋_GB2312" w:eastAsia="仿宋_GB2312" w:cs="仿宋_GB2312"/>
          <w:i w:val="0"/>
          <w:iCs w:val="0"/>
          <w:caps w:val="0"/>
          <w:color w:val="auto"/>
          <w:spacing w:val="0"/>
          <w:sz w:val="32"/>
          <w:szCs w:val="32"/>
          <w:shd w:val="clear" w:color="auto" w:fill="FFFFFF"/>
          <w:lang w:eastAsia="zh-CN"/>
        </w:rPr>
        <w:t>泰山钢铁集团</w:t>
      </w:r>
      <w:r>
        <w:rPr>
          <w:rFonts w:hint="eastAsia" w:ascii="仿宋_GB2312" w:hAnsi="仿宋_GB2312" w:eastAsia="仿宋_GB2312" w:cs="仿宋_GB2312"/>
          <w:i w:val="0"/>
          <w:iCs w:val="0"/>
          <w:caps w:val="0"/>
          <w:color w:val="auto"/>
          <w:spacing w:val="0"/>
          <w:sz w:val="32"/>
          <w:szCs w:val="32"/>
          <w:shd w:val="clear" w:color="auto" w:fill="FFFFFF"/>
        </w:rPr>
        <w:t>等主要钢铁企业采取发展短流程炼钢、提升污染治理技术、提升精料水平等措施降低固体废物产生强度</w:t>
      </w:r>
      <w:r>
        <w:rPr>
          <w:rFonts w:hint="eastAsia" w:ascii="仿宋_GB2312" w:hAnsi="仿宋_GB2312" w:eastAsia="仿宋_GB2312" w:cs="仿宋_GB2312"/>
          <w:i w:val="0"/>
          <w:iCs w:val="0"/>
          <w:caps w:val="0"/>
          <w:color w:val="auto"/>
          <w:spacing w:val="0"/>
          <w:sz w:val="32"/>
          <w:szCs w:val="32"/>
          <w:shd w:val="clear" w:color="auto" w:fill="FFFFFF"/>
          <w:lang w:eastAsia="zh-CN"/>
        </w:rPr>
        <w:t>，确保完成</w:t>
      </w:r>
      <w:r>
        <w:rPr>
          <w:rFonts w:hint="eastAsia" w:ascii="仿宋_GB2312" w:hAnsi="仿宋_GB2312" w:eastAsia="仿宋_GB2312" w:cs="仿宋_GB2312"/>
          <w:i w:val="0"/>
          <w:iCs w:val="0"/>
          <w:caps w:val="0"/>
          <w:color w:val="auto"/>
          <w:spacing w:val="0"/>
          <w:sz w:val="32"/>
          <w:szCs w:val="32"/>
          <w:shd w:val="clear" w:color="auto" w:fill="FFFFFF"/>
        </w:rPr>
        <w:t>工业固体废物减量计划</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工业和信息化局、</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持续推动鲁中矿业有限公司实施充填法采矿。</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自然资源局）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2.提升工业固废利用水平。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推进</w:t>
      </w:r>
      <w:r>
        <w:rPr>
          <w:rFonts w:hint="eastAsia" w:ascii="仿宋_GB2312" w:hAnsi="仿宋_GB2312" w:eastAsia="仿宋_GB2312" w:cs="仿宋_GB2312"/>
          <w:i w:val="0"/>
          <w:iCs w:val="0"/>
          <w:caps w:val="0"/>
          <w:color w:val="auto"/>
          <w:spacing w:val="0"/>
          <w:sz w:val="32"/>
          <w:szCs w:val="32"/>
          <w:shd w:val="clear" w:color="auto" w:fill="FFFFFF"/>
        </w:rPr>
        <w:t>循环经济体系</w:t>
      </w:r>
      <w:r>
        <w:rPr>
          <w:rFonts w:hint="eastAsia" w:ascii="仿宋_GB2312" w:hAnsi="仿宋_GB2312" w:eastAsia="仿宋_GB2312" w:cs="仿宋_GB2312"/>
          <w:i w:val="0"/>
          <w:iCs w:val="0"/>
          <w:caps w:val="0"/>
          <w:color w:val="auto"/>
          <w:spacing w:val="0"/>
          <w:sz w:val="32"/>
          <w:szCs w:val="32"/>
          <w:shd w:val="clear" w:color="auto" w:fill="FFFFFF"/>
          <w:lang w:eastAsia="zh-CN"/>
        </w:rPr>
        <w:t>建设</w:t>
      </w:r>
      <w:r>
        <w:rPr>
          <w:rFonts w:hint="eastAsia" w:ascii="仿宋_GB2312" w:hAnsi="仿宋_GB2312" w:eastAsia="仿宋_GB2312" w:cs="仿宋_GB2312"/>
          <w:i w:val="0"/>
          <w:iCs w:val="0"/>
          <w:caps w:val="0"/>
          <w:color w:val="auto"/>
          <w:spacing w:val="0"/>
          <w:sz w:val="32"/>
          <w:szCs w:val="32"/>
          <w:shd w:val="clear" w:color="auto" w:fill="FFFFFF"/>
        </w:rPr>
        <w:t>。推动企业开展循环化改造，形成企业内部物料、废水、废气循环和余热利用等循环体系。鼓励企业以物质循环利用和能源梯级利用为重点，构建企业内部循环型产业链。</w:t>
      </w:r>
      <w:r>
        <w:rPr>
          <w:rFonts w:hint="eastAsia" w:ascii="仿宋_GB2312" w:hAnsi="仿宋_GB2312" w:eastAsia="仿宋_GB2312" w:cs="仿宋_GB2312"/>
          <w:i w:val="0"/>
          <w:iCs w:val="0"/>
          <w:caps w:val="0"/>
          <w:color w:val="auto"/>
          <w:spacing w:val="0"/>
          <w:sz w:val="32"/>
          <w:szCs w:val="32"/>
          <w:shd w:val="clear" w:color="auto" w:fill="FFFFFF"/>
          <w:lang w:eastAsia="zh-CN"/>
        </w:rPr>
        <w:t>推动</w:t>
      </w:r>
      <w:r>
        <w:rPr>
          <w:rFonts w:hint="eastAsia" w:ascii="仿宋_GB2312" w:hAnsi="仿宋_GB2312" w:eastAsia="仿宋_GB2312" w:cs="仿宋_GB2312"/>
          <w:i w:val="0"/>
          <w:iCs w:val="0"/>
          <w:caps w:val="0"/>
          <w:color w:val="auto"/>
          <w:spacing w:val="0"/>
          <w:sz w:val="32"/>
          <w:szCs w:val="32"/>
          <w:shd w:val="clear" w:color="auto" w:fill="FFFFFF"/>
        </w:rPr>
        <w:t>企业建链补链，加快建立从原料生产到终端消费的循环化全产业链，延伸再生资源精深加工产业链条。完善废旧物资循环利用体系，提升再生资源加工利用水平，健全废钢铁、废塑料、废旧轮胎等废旧物资回收网络，支持金属冶炼、造纸、汽车制造等龙头企业与再生资源回收加工企业合作，建设一体化废钢铁、废有色金属、废纸等绿色分拣加工配送中心。</w:t>
      </w:r>
      <w:r>
        <w:rPr>
          <w:rFonts w:hint="eastAsia" w:ascii="仿宋_GB2312" w:hAnsi="仿宋_GB2312" w:eastAsia="仿宋_GB2312" w:cs="仿宋_GB2312"/>
          <w:i w:val="0"/>
          <w:iCs w:val="0"/>
          <w:caps w:val="0"/>
          <w:color w:val="auto"/>
          <w:spacing w:val="0"/>
          <w:sz w:val="32"/>
          <w:szCs w:val="32"/>
          <w:shd w:val="clear" w:color="auto" w:fill="FFFFFF"/>
          <w:lang w:eastAsia="zh-CN"/>
        </w:rPr>
        <w:t>加快</w:t>
      </w:r>
      <w:r>
        <w:rPr>
          <w:rFonts w:hint="eastAsia" w:ascii="仿宋_GB2312" w:hAnsi="仿宋_GB2312" w:eastAsia="仿宋_GB2312" w:cs="仿宋_GB2312"/>
          <w:i w:val="0"/>
          <w:iCs w:val="0"/>
          <w:caps w:val="0"/>
          <w:color w:val="auto"/>
          <w:spacing w:val="0"/>
          <w:sz w:val="32"/>
          <w:szCs w:val="32"/>
          <w:shd w:val="clear" w:color="auto" w:fill="FFFFFF"/>
        </w:rPr>
        <w:t>工业循环发展，重点围绕化工、钢铁、建材、电力等行业，构建一批循环经济工业产业，实施高端再制造工程，促进固废资源跨产业协同利用。推动再生资源清洁化利用，加快建立再生原材料推广使用制度，拓展再生原材料市场应用渠道。</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区发展改革局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工业和信息化局、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商务</w:t>
      </w:r>
      <w:r>
        <w:rPr>
          <w:rFonts w:hint="eastAsia" w:ascii="楷体" w:hAnsi="楷体" w:eastAsia="楷体" w:cs="楷体"/>
          <w:i w:val="0"/>
          <w:iCs w:val="0"/>
          <w:caps w:val="0"/>
          <w:color w:val="auto"/>
          <w:spacing w:val="0"/>
          <w:sz w:val="32"/>
          <w:szCs w:val="32"/>
          <w:shd w:val="clear" w:color="auto" w:fill="FFFFFF"/>
          <w:lang w:eastAsia="zh-CN"/>
        </w:rPr>
        <w:t>综合服务中心</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积极申报大宗固废综合利用示范基地（企业）。组织申报大宗固废综合利用示范基地和骨干企业，发挥示范引领作用。</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区发展改革局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推动工业固废综合利用。聚焦冶炼废渣、煤矸石、粉煤灰、炉渣、工业副产石膏、污泥、尾矿等工业固废，培育工业固废资源化利用产业链，推动工业固废规模化利用。</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工业和信息化局）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3.加快园区绿色循环发展。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优化</w:t>
      </w:r>
      <w:r>
        <w:rPr>
          <w:rFonts w:hint="eastAsia" w:ascii="仿宋_GB2312" w:hAnsi="仿宋_GB2312" w:eastAsia="仿宋_GB2312" w:cs="仿宋_GB2312"/>
          <w:i w:val="0"/>
          <w:iCs w:val="0"/>
          <w:caps w:val="0"/>
          <w:color w:val="auto"/>
          <w:spacing w:val="0"/>
          <w:sz w:val="32"/>
          <w:szCs w:val="32"/>
          <w:shd w:val="clear" w:color="auto" w:fill="FFFFFF"/>
        </w:rPr>
        <w:t>园区循环化改造。推动固废处置等基础设施共建共享。</w:t>
      </w:r>
      <w:r>
        <w:rPr>
          <w:rFonts w:hint="eastAsia" w:ascii="仿宋_GB2312" w:hAnsi="仿宋_GB2312" w:eastAsia="仿宋_GB2312" w:cs="仿宋_GB2312"/>
          <w:i w:val="0"/>
          <w:iCs w:val="0"/>
          <w:caps w:val="0"/>
          <w:color w:val="auto"/>
          <w:spacing w:val="0"/>
          <w:sz w:val="32"/>
          <w:szCs w:val="32"/>
          <w:shd w:val="clear" w:color="auto" w:fill="FFFFFF"/>
          <w:lang w:eastAsia="zh-CN"/>
        </w:rPr>
        <w:t>探索</w:t>
      </w:r>
      <w:r>
        <w:rPr>
          <w:rFonts w:hint="eastAsia" w:ascii="仿宋_GB2312" w:hAnsi="仿宋_GB2312" w:eastAsia="仿宋_GB2312" w:cs="仿宋_GB2312"/>
          <w:i w:val="0"/>
          <w:iCs w:val="0"/>
          <w:caps w:val="0"/>
          <w:color w:val="auto"/>
          <w:spacing w:val="0"/>
          <w:sz w:val="32"/>
          <w:szCs w:val="32"/>
          <w:shd w:val="clear" w:color="auto" w:fill="FFFFFF"/>
        </w:rPr>
        <w:t>园区产业间、企业间和企业内物料闭路循环，实现固体废物</w:t>
      </w:r>
      <w:r>
        <w:rPr>
          <w:rFonts w:hint="eastAsia" w:ascii="仿宋_GB2312" w:hAnsi="仿宋_GB2312" w:eastAsia="仿宋_GB2312" w:cs="仿宋_GB2312"/>
          <w:i w:val="0"/>
          <w:iCs w:val="0"/>
          <w:caps w:val="0"/>
          <w:color w:val="auto"/>
          <w:spacing w:val="0"/>
          <w:sz w:val="32"/>
          <w:szCs w:val="32"/>
          <w:shd w:val="clear" w:color="auto" w:fill="FFFFFF"/>
          <w:lang w:eastAsia="zh-CN"/>
        </w:rPr>
        <w:t>资源</w:t>
      </w:r>
      <w:r>
        <w:rPr>
          <w:rFonts w:hint="eastAsia" w:ascii="仿宋_GB2312" w:hAnsi="仿宋_GB2312" w:eastAsia="仿宋_GB2312" w:cs="仿宋_GB2312"/>
          <w:i w:val="0"/>
          <w:iCs w:val="0"/>
          <w:caps w:val="0"/>
          <w:color w:val="auto"/>
          <w:spacing w:val="0"/>
          <w:sz w:val="32"/>
          <w:szCs w:val="32"/>
          <w:shd w:val="clear" w:color="auto" w:fill="FFFFFF"/>
        </w:rPr>
        <w:t>循环利用，</w:t>
      </w:r>
      <w:r>
        <w:rPr>
          <w:rFonts w:hint="eastAsia" w:ascii="仿宋_GB2312" w:hAnsi="仿宋_GB2312" w:eastAsia="仿宋_GB2312" w:cs="仿宋_GB2312"/>
          <w:i w:val="0"/>
          <w:iCs w:val="0"/>
          <w:caps w:val="0"/>
          <w:color w:val="auto"/>
          <w:spacing w:val="0"/>
          <w:sz w:val="32"/>
          <w:szCs w:val="32"/>
          <w:shd w:val="clear" w:color="auto" w:fill="FFFFFF"/>
          <w:lang w:eastAsia="zh-CN"/>
        </w:rPr>
        <w:t>推动</w:t>
      </w:r>
      <w:r>
        <w:rPr>
          <w:rFonts w:hint="eastAsia" w:ascii="仿宋_GB2312" w:hAnsi="仿宋_GB2312" w:eastAsia="仿宋_GB2312" w:cs="仿宋_GB2312"/>
          <w:i w:val="0"/>
          <w:iCs w:val="0"/>
          <w:caps w:val="0"/>
          <w:color w:val="auto"/>
          <w:spacing w:val="0"/>
          <w:sz w:val="32"/>
          <w:szCs w:val="32"/>
          <w:shd w:val="clear" w:color="auto" w:fill="FFFFFF"/>
        </w:rPr>
        <w:t>园区</w:t>
      </w:r>
      <w:r>
        <w:rPr>
          <w:rFonts w:hint="eastAsia" w:ascii="仿宋_GB2312" w:hAnsi="仿宋_GB2312" w:eastAsia="仿宋_GB2312" w:cs="仿宋_GB2312"/>
          <w:i w:val="0"/>
          <w:iCs w:val="0"/>
          <w:caps w:val="0"/>
          <w:color w:val="auto"/>
          <w:spacing w:val="0"/>
          <w:sz w:val="32"/>
          <w:szCs w:val="32"/>
          <w:shd w:val="clear" w:color="auto" w:fill="FFFFFF"/>
          <w:lang w:eastAsia="zh-CN"/>
        </w:rPr>
        <w:t>内</w:t>
      </w:r>
      <w:r>
        <w:rPr>
          <w:rFonts w:hint="eastAsia" w:ascii="仿宋_GB2312" w:hAnsi="仿宋_GB2312" w:eastAsia="仿宋_GB2312" w:cs="仿宋_GB2312"/>
          <w:i w:val="0"/>
          <w:iCs w:val="0"/>
          <w:caps w:val="0"/>
          <w:color w:val="auto"/>
          <w:spacing w:val="0"/>
          <w:sz w:val="32"/>
          <w:szCs w:val="32"/>
          <w:shd w:val="clear" w:color="auto" w:fill="FFFFFF"/>
        </w:rPr>
        <w:t>产业循环，实现绿色低碳循环发展。到2025年，具备条件的省级以上园区全部实施循环化改造。</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莱芜高新区管委会、区发展改革局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工业和信息化局）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推动</w:t>
      </w:r>
      <w:r>
        <w:rPr>
          <w:rFonts w:hint="eastAsia" w:ascii="仿宋_GB2312" w:hAnsi="仿宋_GB2312" w:eastAsia="仿宋_GB2312" w:cs="仿宋_GB2312"/>
          <w:i w:val="0"/>
          <w:iCs w:val="0"/>
          <w:caps w:val="0"/>
          <w:color w:val="auto"/>
          <w:spacing w:val="0"/>
          <w:sz w:val="32"/>
          <w:szCs w:val="32"/>
          <w:shd w:val="clear" w:color="auto" w:fill="FFFFFF"/>
        </w:rPr>
        <w:t>建设绿色园区。鼓励园区内企业开发绿色产品、创建绿色工程、建设绿色供应链。到2025年，创建市级及以上绿色工业园区（产业集群、产业集聚区）</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家</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楷体" w:hAnsi="楷体" w:eastAsia="楷体" w:cs="楷体"/>
          <w:i w:val="0"/>
          <w:iCs w:val="0"/>
          <w:caps w:val="0"/>
          <w:color w:val="auto"/>
          <w:spacing w:val="0"/>
          <w:sz w:val="32"/>
          <w:szCs w:val="32"/>
          <w:shd w:val="clear" w:color="auto" w:fill="FFFFFF"/>
          <w:lang w:eastAsia="zh-CN"/>
        </w:rPr>
        <w:t>责任单位：区工业和信息化局）</w:t>
      </w:r>
      <w:r>
        <w:rPr>
          <w:rFonts w:hint="eastAsia" w:ascii="仿宋_GB2312" w:hAnsi="仿宋_GB2312" w:eastAsia="仿宋_GB2312" w:cs="仿宋_GB2312"/>
          <w:i w:val="0"/>
          <w:iCs w:val="0"/>
          <w:caps w:val="0"/>
          <w:color w:val="auto"/>
          <w:spacing w:val="0"/>
          <w:sz w:val="32"/>
          <w:szCs w:val="32"/>
          <w:shd w:val="clear" w:color="auto" w:fill="FFFFFF"/>
        </w:rPr>
        <w:t>；省级生态工业园区</w:t>
      </w:r>
      <w:r>
        <w:rPr>
          <w:rFonts w:hint="eastAsia" w:ascii="仿宋_GB2312" w:hAnsi="仿宋_GB2312" w:eastAsia="仿宋_GB2312" w:cs="仿宋_GB2312"/>
          <w:i w:val="0"/>
          <w:iCs w:val="0"/>
          <w:caps w:val="0"/>
          <w:color w:val="auto"/>
          <w:spacing w:val="0"/>
          <w:sz w:val="32"/>
          <w:szCs w:val="32"/>
          <w:shd w:val="clear" w:color="auto" w:fill="FFFFFF"/>
          <w:lang w:val="en-US" w:eastAsia="zh-CN"/>
        </w:rPr>
        <w:t>1家</w:t>
      </w:r>
      <w:r>
        <w:rPr>
          <w:rFonts w:hint="eastAsia" w:ascii="仿宋_GB2312" w:hAnsi="仿宋_GB2312" w:eastAsia="仿宋_GB2312" w:cs="仿宋_GB2312"/>
          <w:i w:val="0"/>
          <w:iCs w:val="0"/>
          <w:caps w:val="0"/>
          <w:color w:val="auto"/>
          <w:spacing w:val="0"/>
          <w:sz w:val="32"/>
          <w:szCs w:val="32"/>
          <w:shd w:val="clear" w:color="auto" w:fill="FFFFFF"/>
        </w:rPr>
        <w:t>以上。</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莱芜高新区管委会、区</w:t>
      </w:r>
      <w:r>
        <w:rPr>
          <w:rFonts w:hint="eastAsia" w:ascii="楷体" w:hAnsi="楷体" w:eastAsia="楷体" w:cs="楷体"/>
          <w:i w:val="0"/>
          <w:iCs w:val="0"/>
          <w:caps w:val="0"/>
          <w:color w:val="auto"/>
          <w:spacing w:val="0"/>
          <w:sz w:val="32"/>
          <w:szCs w:val="32"/>
          <w:shd w:val="clear" w:color="auto" w:fill="FFFFFF"/>
        </w:rPr>
        <w:t>科技局、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投资促进局）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4.</w:t>
      </w:r>
      <w:r>
        <w:rPr>
          <w:rFonts w:hint="eastAsia" w:ascii="仿宋_GB2312" w:hAnsi="仿宋_GB2312" w:eastAsia="仿宋_GB2312" w:cs="仿宋_GB2312"/>
          <w:i w:val="0"/>
          <w:iCs w:val="0"/>
          <w:caps w:val="0"/>
          <w:color w:val="auto"/>
          <w:spacing w:val="0"/>
          <w:sz w:val="32"/>
          <w:szCs w:val="32"/>
          <w:shd w:val="clear" w:color="auto" w:fill="FFFFFF"/>
          <w:lang w:eastAsia="zh-CN"/>
        </w:rPr>
        <w:t>推动</w:t>
      </w:r>
      <w:r>
        <w:rPr>
          <w:rFonts w:hint="eastAsia" w:ascii="仿宋_GB2312" w:hAnsi="仿宋_GB2312" w:eastAsia="仿宋_GB2312" w:cs="仿宋_GB2312"/>
          <w:i w:val="0"/>
          <w:iCs w:val="0"/>
          <w:caps w:val="0"/>
          <w:color w:val="auto"/>
          <w:spacing w:val="0"/>
          <w:sz w:val="32"/>
          <w:szCs w:val="32"/>
          <w:shd w:val="clear" w:color="auto" w:fill="FFFFFF"/>
        </w:rPr>
        <w:t>绿色矿山建设。对未完成绿色矿山建设的，按照“成熟一个、打造一个”的原则加快推进。新建矿山严格按照绿色矿山标准进行规划、设计、建设和运营管理。到2025年年底，完成省制定的绿色矿山建设目标任务。</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自然资源局；责任单位：</w:t>
      </w:r>
      <w:r>
        <w:rPr>
          <w:rFonts w:hint="eastAsia" w:ascii="楷体" w:hAnsi="楷体" w:eastAsia="楷体" w:cs="楷体"/>
          <w:i w:val="0"/>
          <w:iCs w:val="0"/>
          <w:caps w:val="0"/>
          <w:color w:val="auto"/>
          <w:spacing w:val="0"/>
          <w:sz w:val="32"/>
          <w:szCs w:val="32"/>
          <w:shd w:val="clear" w:color="auto" w:fill="FFFFFF"/>
          <w:lang w:eastAsia="zh-CN"/>
        </w:rPr>
        <w:t>区发展改革局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财政局、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应急局、</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5.</w:t>
      </w:r>
      <w:r>
        <w:rPr>
          <w:rFonts w:hint="eastAsia" w:ascii="仿宋_GB2312" w:hAnsi="仿宋_GB2312" w:eastAsia="仿宋_GB2312" w:cs="仿宋_GB2312"/>
          <w:i w:val="0"/>
          <w:iCs w:val="0"/>
          <w:caps w:val="0"/>
          <w:color w:val="auto"/>
          <w:spacing w:val="0"/>
          <w:sz w:val="32"/>
          <w:szCs w:val="32"/>
          <w:shd w:val="clear" w:color="auto" w:fill="FFFFFF"/>
          <w:lang w:eastAsia="zh-CN"/>
        </w:rPr>
        <w:t>强化</w:t>
      </w:r>
      <w:r>
        <w:rPr>
          <w:rFonts w:hint="eastAsia" w:ascii="仿宋_GB2312" w:hAnsi="仿宋_GB2312" w:eastAsia="仿宋_GB2312" w:cs="仿宋_GB2312"/>
          <w:i w:val="0"/>
          <w:iCs w:val="0"/>
          <w:caps w:val="0"/>
          <w:color w:val="auto"/>
          <w:spacing w:val="0"/>
          <w:sz w:val="32"/>
          <w:szCs w:val="32"/>
          <w:shd w:val="clear" w:color="auto" w:fill="FFFFFF"/>
        </w:rPr>
        <w:t>工业固废精细化管理水平。构建和完善工业固废</w:t>
      </w:r>
      <w:r>
        <w:rPr>
          <w:rFonts w:hint="eastAsia" w:ascii="仿宋_GB2312" w:hAnsi="仿宋_GB2312" w:eastAsia="仿宋_GB2312" w:cs="仿宋_GB2312"/>
          <w:i w:val="0"/>
          <w:iCs w:val="0"/>
          <w:caps w:val="0"/>
          <w:color w:val="auto"/>
          <w:spacing w:val="0"/>
          <w:sz w:val="32"/>
          <w:szCs w:val="32"/>
          <w:shd w:val="clear" w:color="auto" w:fill="FFFFFF"/>
          <w:lang w:eastAsia="zh-CN"/>
        </w:rPr>
        <w:t>收集</w:t>
      </w:r>
      <w:r>
        <w:rPr>
          <w:rFonts w:hint="eastAsia" w:ascii="仿宋_GB2312" w:hAnsi="仿宋_GB2312" w:eastAsia="仿宋_GB2312" w:cs="仿宋_GB2312"/>
          <w:i w:val="0"/>
          <w:iCs w:val="0"/>
          <w:caps w:val="0"/>
          <w:color w:val="auto"/>
          <w:spacing w:val="0"/>
          <w:sz w:val="32"/>
          <w:szCs w:val="32"/>
          <w:shd w:val="clear" w:color="auto" w:fill="FFFFFF"/>
        </w:rPr>
        <w:t>、贮</w:t>
      </w:r>
      <w:r>
        <w:rPr>
          <w:rFonts w:hint="eastAsia" w:ascii="仿宋_GB2312" w:hAnsi="仿宋_GB2312" w:eastAsia="仿宋_GB2312" w:cs="仿宋_GB2312"/>
          <w:i w:val="0"/>
          <w:iCs w:val="0"/>
          <w:caps w:val="0"/>
          <w:color w:val="auto"/>
          <w:spacing w:val="0"/>
          <w:sz w:val="32"/>
          <w:szCs w:val="32"/>
          <w:shd w:val="clear" w:color="auto" w:fill="FFFFFF"/>
          <w:lang w:eastAsia="zh-CN"/>
        </w:rPr>
        <w:t>存</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转</w:t>
      </w:r>
      <w:r>
        <w:rPr>
          <w:rFonts w:hint="eastAsia" w:ascii="仿宋_GB2312" w:hAnsi="仿宋_GB2312" w:eastAsia="仿宋_GB2312" w:cs="仿宋_GB2312"/>
          <w:i w:val="0"/>
          <w:iCs w:val="0"/>
          <w:caps w:val="0"/>
          <w:color w:val="auto"/>
          <w:spacing w:val="0"/>
          <w:sz w:val="32"/>
          <w:szCs w:val="32"/>
          <w:shd w:val="clear" w:color="auto" w:fill="FFFFFF"/>
        </w:rPr>
        <w:t>运、处</w:t>
      </w:r>
      <w:r>
        <w:rPr>
          <w:rFonts w:hint="eastAsia" w:ascii="仿宋_GB2312" w:hAnsi="仿宋_GB2312" w:eastAsia="仿宋_GB2312" w:cs="仿宋_GB2312"/>
          <w:i w:val="0"/>
          <w:iCs w:val="0"/>
          <w:caps w:val="0"/>
          <w:color w:val="auto"/>
          <w:spacing w:val="0"/>
          <w:sz w:val="32"/>
          <w:szCs w:val="32"/>
          <w:shd w:val="clear" w:color="auto" w:fill="FFFFFF"/>
          <w:lang w:eastAsia="zh-CN"/>
        </w:rPr>
        <w:t>置</w:t>
      </w:r>
      <w:r>
        <w:rPr>
          <w:rFonts w:hint="eastAsia" w:ascii="仿宋_GB2312" w:hAnsi="仿宋_GB2312" w:eastAsia="仿宋_GB2312" w:cs="仿宋_GB2312"/>
          <w:i w:val="0"/>
          <w:iCs w:val="0"/>
          <w:caps w:val="0"/>
          <w:color w:val="auto"/>
          <w:spacing w:val="0"/>
          <w:sz w:val="32"/>
          <w:szCs w:val="32"/>
          <w:shd w:val="clear" w:color="auto" w:fill="FFFFFF"/>
        </w:rPr>
        <w:t>的全闭环管理规范，进一步加强对工业固废产生企业的监管，</w:t>
      </w:r>
      <w:r>
        <w:rPr>
          <w:rFonts w:hint="eastAsia" w:ascii="仿宋_GB2312" w:hAnsi="仿宋_GB2312" w:eastAsia="仿宋_GB2312" w:cs="仿宋_GB2312"/>
          <w:i w:val="0"/>
          <w:iCs w:val="0"/>
          <w:caps w:val="0"/>
          <w:color w:val="auto"/>
          <w:spacing w:val="0"/>
          <w:sz w:val="32"/>
          <w:szCs w:val="32"/>
          <w:shd w:val="clear" w:color="auto" w:fill="FFFFFF"/>
          <w:lang w:eastAsia="zh-CN"/>
        </w:rPr>
        <w:t>推动</w:t>
      </w:r>
      <w:r>
        <w:rPr>
          <w:rFonts w:hint="eastAsia" w:ascii="仿宋_GB2312" w:hAnsi="仿宋_GB2312" w:eastAsia="仿宋_GB2312" w:cs="仿宋_GB2312"/>
          <w:i w:val="0"/>
          <w:iCs w:val="0"/>
          <w:caps w:val="0"/>
          <w:color w:val="auto"/>
          <w:spacing w:val="0"/>
          <w:sz w:val="32"/>
          <w:szCs w:val="32"/>
          <w:shd w:val="clear" w:color="auto" w:fill="FFFFFF"/>
        </w:rPr>
        <w:t>资源综合利用技术</w:t>
      </w:r>
      <w:r>
        <w:rPr>
          <w:rFonts w:hint="eastAsia" w:ascii="仿宋_GB2312" w:hAnsi="仿宋_GB2312" w:eastAsia="仿宋_GB2312" w:cs="仿宋_GB2312"/>
          <w:i w:val="0"/>
          <w:iCs w:val="0"/>
          <w:caps w:val="0"/>
          <w:color w:val="auto"/>
          <w:spacing w:val="0"/>
          <w:sz w:val="32"/>
          <w:szCs w:val="32"/>
          <w:shd w:val="clear" w:color="auto" w:fill="FFFFFF"/>
          <w:lang w:eastAsia="zh-CN"/>
        </w:rPr>
        <w:t>的</w:t>
      </w:r>
      <w:r>
        <w:rPr>
          <w:rFonts w:hint="eastAsia" w:ascii="仿宋_GB2312" w:hAnsi="仿宋_GB2312" w:eastAsia="仿宋_GB2312" w:cs="仿宋_GB2312"/>
          <w:i w:val="0"/>
          <w:iCs w:val="0"/>
          <w:caps w:val="0"/>
          <w:color w:val="auto"/>
          <w:spacing w:val="0"/>
          <w:sz w:val="32"/>
          <w:szCs w:val="32"/>
          <w:shd w:val="clear" w:color="auto" w:fill="FFFFFF"/>
        </w:rPr>
        <w:t>研发，提高一般工业固体废物资源利用。提升一般工业固体废物</w:t>
      </w:r>
      <w:r>
        <w:rPr>
          <w:rFonts w:hint="eastAsia" w:ascii="仿宋_GB2312" w:hAnsi="仿宋_GB2312" w:eastAsia="仿宋_GB2312" w:cs="仿宋_GB2312"/>
          <w:i w:val="0"/>
          <w:iCs w:val="0"/>
          <w:caps w:val="0"/>
          <w:color w:val="auto"/>
          <w:spacing w:val="0"/>
          <w:sz w:val="32"/>
          <w:szCs w:val="32"/>
          <w:shd w:val="clear" w:color="auto" w:fill="FFFFFF"/>
          <w:lang w:eastAsia="zh-CN"/>
        </w:rPr>
        <w:t>的</w:t>
      </w:r>
      <w:r>
        <w:rPr>
          <w:rFonts w:hint="eastAsia" w:ascii="仿宋_GB2312" w:hAnsi="仿宋_GB2312" w:eastAsia="仿宋_GB2312" w:cs="仿宋_GB2312"/>
          <w:i w:val="0"/>
          <w:iCs w:val="0"/>
          <w:caps w:val="0"/>
          <w:color w:val="auto"/>
          <w:spacing w:val="0"/>
          <w:sz w:val="32"/>
          <w:szCs w:val="32"/>
          <w:shd w:val="clear" w:color="auto" w:fill="FFFFFF"/>
        </w:rPr>
        <w:t>综合利用能力，降低贮存处置量</w:t>
      </w:r>
      <w:r>
        <w:rPr>
          <w:rFonts w:hint="eastAsia" w:ascii="仿宋_GB2312" w:hAnsi="仿宋_GB2312" w:eastAsia="仿宋_GB2312" w:cs="仿宋_GB2312"/>
          <w:i w:val="0"/>
          <w:iCs w:val="0"/>
          <w:caps w:val="0"/>
          <w:color w:val="auto"/>
          <w:spacing w:val="0"/>
          <w:sz w:val="32"/>
          <w:szCs w:val="32"/>
          <w:shd w:val="clear" w:color="auto" w:fill="FFFFFF"/>
          <w:lang w:eastAsia="zh-CN"/>
        </w:rPr>
        <w:t>，逐步</w:t>
      </w:r>
      <w:r>
        <w:rPr>
          <w:rFonts w:hint="eastAsia" w:ascii="仿宋_GB2312" w:hAnsi="仿宋_GB2312" w:eastAsia="仿宋_GB2312" w:cs="仿宋_GB2312"/>
          <w:i w:val="0"/>
          <w:iCs w:val="0"/>
          <w:caps w:val="0"/>
          <w:color w:val="auto"/>
          <w:spacing w:val="0"/>
          <w:sz w:val="32"/>
          <w:szCs w:val="32"/>
          <w:shd w:val="clear" w:color="auto" w:fill="FFFFFF"/>
        </w:rPr>
        <w:t>扩大利用规模。全面摸清一般工业固体废物堆存场所底数，逐步解决历史遗留问题。建立常态化监管制度，督促重点企业定期向工业和信息化、生态环境主管部门提供一般工业固体废物的种类、数量、流向、贮存、利用、处置等资料，以及减少工业固体废物产生、促进综合利用的具体措施。</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工业和信息化局、</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（四）</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发展生态循环农业，促进农业农村废物资源综合利用。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1.</w:t>
      </w:r>
      <w:r>
        <w:rPr>
          <w:rFonts w:hint="eastAsia" w:ascii="仿宋_GB2312" w:hAnsi="仿宋_GB2312" w:eastAsia="仿宋_GB2312" w:cs="仿宋_GB2312"/>
          <w:i w:val="0"/>
          <w:iCs w:val="0"/>
          <w:caps w:val="0"/>
          <w:color w:val="auto"/>
          <w:spacing w:val="0"/>
          <w:sz w:val="32"/>
          <w:szCs w:val="32"/>
          <w:shd w:val="clear" w:color="auto" w:fill="FFFFFF"/>
          <w:lang w:val="en-US" w:eastAsia="zh-CN"/>
        </w:rPr>
        <w:t>推动</w:t>
      </w:r>
      <w:r>
        <w:rPr>
          <w:rFonts w:hint="eastAsia" w:ascii="仿宋_GB2312" w:hAnsi="仿宋_GB2312" w:eastAsia="仿宋_GB2312" w:cs="仿宋_GB2312"/>
          <w:i w:val="0"/>
          <w:iCs w:val="0"/>
          <w:caps w:val="0"/>
          <w:color w:val="auto"/>
          <w:spacing w:val="0"/>
          <w:sz w:val="32"/>
          <w:szCs w:val="32"/>
          <w:shd w:val="clear" w:color="auto" w:fill="FFFFFF"/>
        </w:rPr>
        <w:t>农业绿色高质高效发展。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构建绿色农业生产体系。深化农业供给侧结构性改革，推进农业绿色发展支撑体系建设，开展绿色种养技术应用试验，探索建立绿色农业技术、标准、产业、经营等体系。开展“三品一标”认证，发展生态循环农业。鼓励发展预制菜产业，提高产地净菜加工水平。</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农业农村局）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推动化肥农药减量增效</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重点街道（镇）</w:t>
      </w:r>
      <w:r>
        <w:rPr>
          <w:rFonts w:hint="eastAsia" w:ascii="仿宋_GB2312" w:hAnsi="仿宋_GB2312" w:eastAsia="仿宋_GB2312" w:cs="仿宋_GB2312"/>
          <w:i w:val="0"/>
          <w:iCs w:val="0"/>
          <w:caps w:val="0"/>
          <w:color w:val="auto"/>
          <w:spacing w:val="0"/>
          <w:sz w:val="32"/>
          <w:szCs w:val="32"/>
          <w:shd w:val="clear" w:color="auto" w:fill="FFFFFF"/>
        </w:rPr>
        <w:t>强化水肥一体化和测土配方施肥技术应用。在绿色农业示范区及周边区域，以“减肥、减药、洁田、修复、循环”为方针，实施农药化肥减量增效工程。深入推进农药减量控害</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强化农药规范化生产与管理。到2025年，全</w:t>
      </w:r>
      <w:r>
        <w:rPr>
          <w:rFonts w:hint="eastAsia" w:ascii="仿宋_GB2312" w:hAnsi="仿宋_GB2312" w:eastAsia="仿宋_GB2312" w:cs="仿宋_GB2312"/>
          <w:i w:val="0"/>
          <w:iCs w:val="0"/>
          <w:caps w:val="0"/>
          <w:color w:val="auto"/>
          <w:spacing w:val="0"/>
          <w:sz w:val="32"/>
          <w:szCs w:val="32"/>
          <w:shd w:val="clear" w:color="auto" w:fill="FFFFFF"/>
          <w:lang w:eastAsia="zh-CN"/>
        </w:rPr>
        <w:t>区</w:t>
      </w:r>
      <w:r>
        <w:rPr>
          <w:rFonts w:hint="eastAsia" w:ascii="仿宋_GB2312" w:hAnsi="仿宋_GB2312" w:eastAsia="仿宋_GB2312" w:cs="仿宋_GB2312"/>
          <w:i w:val="0"/>
          <w:iCs w:val="0"/>
          <w:caps w:val="0"/>
          <w:color w:val="auto"/>
          <w:spacing w:val="0"/>
          <w:sz w:val="32"/>
          <w:szCs w:val="32"/>
          <w:shd w:val="clear" w:color="auto" w:fill="FFFFFF"/>
        </w:rPr>
        <w:t>水肥一体化技术推广面积达到8</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rPr>
        <w:t>5万亩，单位耕地面积化肥施用量较2020年下降6%左右，农药施用总量较2020年下降10%左右。</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农业农村局）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2.提高</w:t>
      </w:r>
      <w:r>
        <w:rPr>
          <w:rFonts w:hint="eastAsia" w:ascii="仿宋_GB2312" w:hAnsi="仿宋_GB2312" w:eastAsia="仿宋_GB2312" w:cs="仿宋_GB2312"/>
          <w:i w:val="0"/>
          <w:iCs w:val="0"/>
          <w:caps w:val="0"/>
          <w:color w:val="auto"/>
          <w:spacing w:val="0"/>
          <w:sz w:val="32"/>
          <w:szCs w:val="32"/>
          <w:shd w:val="clear" w:color="auto" w:fill="FFFFFF"/>
          <w:lang w:val="en-US" w:eastAsia="zh-CN"/>
        </w:rPr>
        <w:t>农业废弃物</w:t>
      </w:r>
      <w:r>
        <w:rPr>
          <w:rFonts w:hint="eastAsia" w:ascii="仿宋_GB2312" w:hAnsi="仿宋_GB2312" w:eastAsia="仿宋_GB2312" w:cs="仿宋_GB2312"/>
          <w:i w:val="0"/>
          <w:iCs w:val="0"/>
          <w:caps w:val="0"/>
          <w:color w:val="auto"/>
          <w:spacing w:val="0"/>
          <w:sz w:val="32"/>
          <w:szCs w:val="32"/>
          <w:shd w:val="clear" w:color="auto" w:fill="FFFFFF"/>
        </w:rPr>
        <w:t>综合利用水平。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推进农作物秸秆综合利用</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到2025年，秸秆综合利用率稳定达到98%以上</w:t>
      </w:r>
      <w:r>
        <w:rPr>
          <w:rFonts w:hint="eastAsia" w:ascii="楷体" w:hAnsi="楷体" w:eastAsia="楷体" w:cs="楷体"/>
          <w:i w:val="0"/>
          <w:iCs w:val="0"/>
          <w:caps w:val="0"/>
          <w:color w:val="auto"/>
          <w:spacing w:val="0"/>
          <w:sz w:val="32"/>
          <w:szCs w:val="32"/>
          <w:shd w:val="clear" w:color="auto" w:fill="FFFFFF"/>
          <w:lang w:eastAsia="zh-CN"/>
        </w:rPr>
        <w:t>。</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农业农村局）</w:t>
      </w:r>
      <w:r>
        <w:rPr>
          <w:rFonts w:hint="eastAsia" w:ascii="仿宋_GB2312" w:hAnsi="仿宋_GB2312" w:eastAsia="仿宋_GB2312" w:cs="仿宋_GB2312"/>
          <w:i w:val="0"/>
          <w:iCs w:val="0"/>
          <w:caps w:val="0"/>
          <w:color w:val="auto"/>
          <w:spacing w:val="0"/>
          <w:sz w:val="32"/>
          <w:szCs w:val="32"/>
          <w:shd w:val="clear" w:color="auto" w:fill="FFFFFF"/>
        </w:rPr>
        <w:t>深化畜禽粪污综合利用</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落实各级财政扶持政策，支持引导畜禽规模养殖场户粪污处理设施配建和提升改造，确保规模养殖场粪污处理设施装备配套率达到100%</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到2025年，畜禽粪污综合利用率稳定在90%以上</w:t>
      </w:r>
      <w:r>
        <w:rPr>
          <w:rFonts w:hint="eastAsia" w:ascii="楷体" w:hAnsi="楷体" w:eastAsia="楷体" w:cs="楷体"/>
          <w:i w:val="0"/>
          <w:iCs w:val="0"/>
          <w:caps w:val="0"/>
          <w:color w:val="auto"/>
          <w:spacing w:val="0"/>
          <w:sz w:val="32"/>
          <w:szCs w:val="32"/>
          <w:shd w:val="clear" w:color="auto" w:fill="FFFFFF"/>
          <w:lang w:eastAsia="zh-CN"/>
        </w:rPr>
        <w:t>。</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农业农村局; 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财政局、</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探索“秸秆—畜禽粪污”综合利用新模式</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推广以秸秆、畜禽粪污为原料制作有机肥，以蚯蚓为媒介处理蔬菜尾菜、畜禽粪污等农业废弃物</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不断拓宽秸秆综合利用渠道，提升“秸秆—畜禽粪污”多途径、资源化利用水平。</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农业农村局）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3.强化农膜和农药包装废弃物回收体系建设。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加强农膜产品质量监督管理。禁止生产、销售厚度小于0.01毫米的聚乙烯农用薄膜，积极引导农民使用合格农膜产品。</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工业和信息化局、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农业农村局、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市场监管局）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建立</w:t>
      </w:r>
      <w:r>
        <w:rPr>
          <w:rFonts w:hint="eastAsia" w:ascii="仿宋_GB2312" w:hAnsi="仿宋_GB2312" w:eastAsia="仿宋_GB2312" w:cs="仿宋_GB2312"/>
          <w:i w:val="0"/>
          <w:iCs w:val="0"/>
          <w:caps w:val="0"/>
          <w:color w:val="auto"/>
          <w:spacing w:val="0"/>
          <w:sz w:val="32"/>
          <w:szCs w:val="32"/>
          <w:shd w:val="clear" w:color="auto" w:fill="FFFFFF"/>
          <w:lang w:eastAsia="zh-CN"/>
        </w:rPr>
        <w:t>健全</w:t>
      </w:r>
      <w:r>
        <w:rPr>
          <w:rFonts w:hint="eastAsia" w:ascii="仿宋_GB2312" w:hAnsi="仿宋_GB2312" w:eastAsia="仿宋_GB2312" w:cs="仿宋_GB2312"/>
          <w:i w:val="0"/>
          <w:iCs w:val="0"/>
          <w:caps w:val="0"/>
          <w:color w:val="auto"/>
          <w:spacing w:val="0"/>
          <w:sz w:val="32"/>
          <w:szCs w:val="32"/>
          <w:shd w:val="clear" w:color="auto" w:fill="FFFFFF"/>
        </w:rPr>
        <w:t>农膜回收利用长效机制。以地膜主要覆盖区域为重点，针对</w:t>
      </w:r>
      <w:r>
        <w:rPr>
          <w:rFonts w:hint="eastAsia" w:ascii="仿宋_GB2312" w:hAnsi="仿宋_GB2312" w:eastAsia="仿宋_GB2312" w:cs="仿宋_GB2312"/>
          <w:i w:val="0"/>
          <w:iCs w:val="0"/>
          <w:caps w:val="0"/>
          <w:color w:val="auto"/>
          <w:spacing w:val="0"/>
          <w:sz w:val="32"/>
          <w:szCs w:val="32"/>
          <w:shd w:val="clear" w:color="auto" w:fill="FFFFFF"/>
          <w:lang w:val="en-US" w:eastAsia="zh-CN"/>
        </w:rPr>
        <w:t>不同</w:t>
      </w:r>
      <w:r>
        <w:rPr>
          <w:rFonts w:hint="eastAsia" w:ascii="仿宋_GB2312" w:hAnsi="仿宋_GB2312" w:eastAsia="仿宋_GB2312" w:cs="仿宋_GB2312"/>
          <w:i w:val="0"/>
          <w:iCs w:val="0"/>
          <w:caps w:val="0"/>
          <w:color w:val="auto"/>
          <w:spacing w:val="0"/>
          <w:sz w:val="32"/>
          <w:szCs w:val="32"/>
          <w:shd w:val="clear" w:color="auto" w:fill="FFFFFF"/>
        </w:rPr>
        <w:t>适宜作物，规模化推广0.01毫米以上高强度加厚地膜</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全生物降解地膜。开展地膜回收示范点建设</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定期开展农田残留地膜执法巡查，督促有关主体切实履行回收责任。开展农膜应用与回收情况调查评估和农田地膜残留监测工作。到2025年，农膜回收率达到95%左右。</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农业农村局）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完善</w:t>
      </w:r>
      <w:r>
        <w:rPr>
          <w:rFonts w:hint="eastAsia" w:ascii="仿宋_GB2312" w:hAnsi="仿宋_GB2312" w:eastAsia="仿宋_GB2312" w:cs="仿宋_GB2312"/>
          <w:i w:val="0"/>
          <w:iCs w:val="0"/>
          <w:caps w:val="0"/>
          <w:color w:val="auto"/>
          <w:spacing w:val="0"/>
          <w:sz w:val="32"/>
          <w:szCs w:val="32"/>
          <w:shd w:val="clear" w:color="auto" w:fill="FFFFFF"/>
        </w:rPr>
        <w:t>农药包装废弃物回收处理体系。按照政府引导、市场运作、属地管理的原则，逐步建立“谁使用谁交回、谁销售谁收集、专业机构处置、市场主体承担、公共财政补充”的农药包装废弃物回收处理体系。加大执法监管力度，</w:t>
      </w:r>
      <w:r>
        <w:rPr>
          <w:rFonts w:hint="eastAsia" w:ascii="仿宋_GB2312" w:hAnsi="仿宋_GB2312" w:eastAsia="仿宋_GB2312" w:cs="仿宋_GB2312"/>
          <w:i w:val="0"/>
          <w:iCs w:val="0"/>
          <w:caps w:val="0"/>
          <w:color w:val="auto"/>
          <w:spacing w:val="0"/>
          <w:sz w:val="32"/>
          <w:szCs w:val="32"/>
          <w:shd w:val="clear" w:color="auto" w:fill="FFFFFF"/>
          <w:lang w:val="en-US" w:eastAsia="zh-CN"/>
        </w:rPr>
        <w:t>对违法行为</w:t>
      </w:r>
      <w:r>
        <w:rPr>
          <w:rFonts w:hint="eastAsia" w:ascii="仿宋_GB2312" w:hAnsi="仿宋_GB2312" w:eastAsia="仿宋_GB2312" w:cs="仿宋_GB2312"/>
          <w:i w:val="0"/>
          <w:iCs w:val="0"/>
          <w:caps w:val="0"/>
          <w:color w:val="auto"/>
          <w:spacing w:val="0"/>
          <w:sz w:val="32"/>
          <w:szCs w:val="32"/>
          <w:shd w:val="clear" w:color="auto" w:fill="FFFFFF"/>
        </w:rPr>
        <w:t>依法处理。开展农药包装物回收示范点建设。严格落实危险废物豁免管理有关规定。到2025年，基本建成农药包装废弃物有效回收处理的长效机制。</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农业农村局；责任单位：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（五）</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加快形成绿色生活方式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1.</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加强生活垃圾管理</w:t>
      </w:r>
      <w:r>
        <w:rPr>
          <w:rFonts w:hint="eastAsia" w:ascii="仿宋_GB2312" w:hAnsi="仿宋_GB2312" w:eastAsia="仿宋_GB2312" w:cs="仿宋_GB2312"/>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倡导宾馆、餐饮等服务行业，推广使用可循环利用物品，不主动提供一次性易耗品</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文化和旅游局、</w:t>
      </w:r>
      <w:r>
        <w:rPr>
          <w:rFonts w:hint="eastAsia" w:ascii="楷体" w:hAnsi="楷体" w:eastAsia="楷体" w:cs="楷体"/>
          <w:i w:val="0"/>
          <w:iCs w:val="0"/>
          <w:caps w:val="0"/>
          <w:color w:val="auto"/>
          <w:spacing w:val="0"/>
          <w:sz w:val="32"/>
          <w:szCs w:val="32"/>
          <w:shd w:val="clear" w:color="auto" w:fill="FFFFFF"/>
          <w:lang w:eastAsia="zh-CN"/>
        </w:rPr>
        <w:t>区商务综合服务中心</w:t>
      </w:r>
      <w:r>
        <w:rPr>
          <w:rFonts w:hint="eastAsia" w:ascii="楷体" w:hAnsi="楷体" w:eastAsia="楷体" w:cs="楷体"/>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。倡导绿色生活方式</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切实开展“光盘行动”，倡导厉行节约、防止食品浪费</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区商务综合服务中心</w:t>
      </w:r>
      <w:r>
        <w:rPr>
          <w:rFonts w:hint="eastAsia" w:ascii="楷体" w:hAnsi="楷体" w:eastAsia="楷体" w:cs="楷体"/>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。推动党政机关</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企事业单位</w:t>
      </w:r>
      <w:r>
        <w:rPr>
          <w:rFonts w:hint="eastAsia" w:ascii="仿宋_GB2312" w:hAnsi="仿宋_GB2312" w:eastAsia="仿宋_GB2312" w:cs="仿宋_GB2312"/>
          <w:i w:val="0"/>
          <w:iCs w:val="0"/>
          <w:caps w:val="0"/>
          <w:color w:val="auto"/>
          <w:spacing w:val="0"/>
          <w:sz w:val="32"/>
          <w:szCs w:val="32"/>
          <w:shd w:val="clear" w:color="auto" w:fill="FFFFFF"/>
        </w:rPr>
        <w:t>实施绿色办公。</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财政局、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机关事务服务中心）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推进净菜在标准化菜市场、大型超市等场所上市。</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区商务综合服务中心</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市场监管局）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实施生活垃圾源头减量。禁止生产、销售厚度小于0.025毫米的超薄塑料购物袋，并实施生产、销售环节产品质量监督抽查。</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区发展改革局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工业和信息化局、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市场监管局、</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提升</w:t>
      </w:r>
      <w:r>
        <w:rPr>
          <w:rFonts w:hint="eastAsia" w:ascii="仿宋_GB2312" w:hAnsi="仿宋_GB2312" w:eastAsia="仿宋_GB2312" w:cs="仿宋_GB2312"/>
          <w:i w:val="0"/>
          <w:iCs w:val="0"/>
          <w:caps w:val="0"/>
          <w:color w:val="auto"/>
          <w:spacing w:val="0"/>
          <w:sz w:val="32"/>
          <w:szCs w:val="32"/>
          <w:shd w:val="clear" w:color="auto" w:fill="FFFFFF"/>
        </w:rPr>
        <w:t>生活垃圾分类设施体系。</w:t>
      </w:r>
      <w:r>
        <w:rPr>
          <w:rFonts w:hint="eastAsia" w:ascii="仿宋_GB2312" w:hAnsi="仿宋_GB2312" w:eastAsia="仿宋_GB2312" w:cs="仿宋_GB2312"/>
          <w:i w:val="0"/>
          <w:iCs w:val="0"/>
          <w:caps w:val="0"/>
          <w:color w:val="auto"/>
          <w:spacing w:val="0"/>
          <w:sz w:val="32"/>
          <w:szCs w:val="32"/>
          <w:shd w:val="clear" w:color="auto" w:fill="FFFFFF"/>
          <w:lang w:eastAsia="zh-CN"/>
        </w:rPr>
        <w:t>全面</w:t>
      </w:r>
      <w:r>
        <w:rPr>
          <w:rFonts w:hint="eastAsia" w:ascii="仿宋_GB2312" w:hAnsi="仿宋_GB2312" w:eastAsia="仿宋_GB2312" w:cs="仿宋_GB2312"/>
          <w:i w:val="0"/>
          <w:iCs w:val="0"/>
          <w:caps w:val="0"/>
          <w:color w:val="auto"/>
          <w:spacing w:val="0"/>
          <w:sz w:val="32"/>
          <w:szCs w:val="32"/>
          <w:shd w:val="clear" w:color="auto" w:fill="FFFFFF"/>
        </w:rPr>
        <w:t>落实“撤桶并点、定时投放”和“三定一督（定时、定点、定人督导）”制度。鼓励居住小区因地制宜设置定时定点投放点，设定投放时间，制定分类投放规范等。</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城管局；责任单位：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住房城乡建设局）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推动厨余垃圾分出质量</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持续提高餐饮单位餐厨废弃物收运工作。加强厨余垃圾收运日常监管，提升收集精准率。</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城管局；责任单位：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住房城乡建设局、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文化和旅游局、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市场监管局）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推进生活垃圾分类。着力提升生活垃圾分类投放质量。逐步推行生活垃圾“定时定点”投放。引导公共场所</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商场餐饮经营者落实生活垃圾分类投放管理责任人制度。推动各类场所具备生活垃圾分类投放能力，</w:t>
      </w:r>
      <w:r>
        <w:rPr>
          <w:rFonts w:hint="eastAsia" w:ascii="仿宋_GB2312" w:hAnsi="仿宋_GB2312" w:eastAsia="仿宋_GB2312" w:cs="仿宋_GB2312"/>
          <w:i w:val="0"/>
          <w:iCs w:val="0"/>
          <w:caps w:val="0"/>
          <w:color w:val="auto"/>
          <w:spacing w:val="0"/>
          <w:sz w:val="32"/>
          <w:szCs w:val="32"/>
          <w:shd w:val="clear" w:color="auto" w:fill="FFFFFF"/>
          <w:lang w:eastAsia="zh-CN"/>
        </w:rPr>
        <w:t>真正</w:t>
      </w:r>
      <w:r>
        <w:rPr>
          <w:rFonts w:hint="eastAsia" w:ascii="仿宋_GB2312" w:hAnsi="仿宋_GB2312" w:eastAsia="仿宋_GB2312" w:cs="仿宋_GB2312"/>
          <w:i w:val="0"/>
          <w:iCs w:val="0"/>
          <w:caps w:val="0"/>
          <w:color w:val="auto"/>
          <w:spacing w:val="0"/>
          <w:sz w:val="32"/>
          <w:szCs w:val="32"/>
          <w:shd w:val="clear" w:color="auto" w:fill="FFFFFF"/>
        </w:rPr>
        <w:t>做到“专桶专投”全覆盖。</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城管局；责任单位：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住房城乡建设局、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文化和旅游局、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园林绿化和林业</w:t>
      </w:r>
      <w:r>
        <w:rPr>
          <w:rFonts w:hint="eastAsia" w:ascii="楷体" w:hAnsi="楷体" w:eastAsia="楷体" w:cs="楷体"/>
          <w:i w:val="0"/>
          <w:iCs w:val="0"/>
          <w:caps w:val="0"/>
          <w:color w:val="auto"/>
          <w:spacing w:val="0"/>
          <w:sz w:val="32"/>
          <w:szCs w:val="32"/>
          <w:shd w:val="clear" w:color="auto" w:fill="FFFFFF"/>
          <w:lang w:eastAsia="zh-CN"/>
        </w:rPr>
        <w:t>发展中心</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区商务综合服务中心</w:t>
      </w:r>
      <w:r>
        <w:rPr>
          <w:rFonts w:hint="eastAsia" w:ascii="楷体" w:hAnsi="楷体" w:eastAsia="楷体" w:cs="楷体"/>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继续推进“户分、村收、街道（镇）运、市（区县）处理”及“定时巡回上门收集”的农村生活垃圾分类管理模式。</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城管局）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2.健全再生资源回收体系</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加快升级建设再生资源回收体系</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统筹规划布局再生资源回收站点、中转（分拣）站。规范再生资源回收企业运营</w:t>
      </w:r>
      <w:r>
        <w:rPr>
          <w:rFonts w:hint="eastAsia" w:ascii="仿宋_GB2312" w:hAnsi="仿宋_GB2312" w:eastAsia="仿宋_GB2312" w:cs="仿宋_GB2312"/>
          <w:i w:val="0"/>
          <w:iCs w:val="0"/>
          <w:caps w:val="0"/>
          <w:color w:val="auto"/>
          <w:spacing w:val="0"/>
          <w:sz w:val="32"/>
          <w:szCs w:val="32"/>
          <w:shd w:val="clear" w:color="auto" w:fill="FFFFFF"/>
          <w:lang w:eastAsia="zh-CN"/>
        </w:rPr>
        <w:t>模式</w:t>
      </w:r>
      <w:r>
        <w:rPr>
          <w:rFonts w:hint="eastAsia" w:ascii="仿宋_GB2312" w:hAnsi="仿宋_GB2312" w:eastAsia="仿宋_GB2312" w:cs="仿宋_GB2312"/>
          <w:i w:val="0"/>
          <w:iCs w:val="0"/>
          <w:caps w:val="0"/>
          <w:color w:val="auto"/>
          <w:spacing w:val="0"/>
          <w:sz w:val="32"/>
          <w:szCs w:val="32"/>
          <w:shd w:val="clear" w:color="auto" w:fill="FFFFFF"/>
        </w:rPr>
        <w:t>，倡导“统一管理、统一回收”。发挥行业协会组织作用，采取多种方式积极引导企业拓宽再生资源业务领域和经营范围。</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供销</w:t>
      </w:r>
      <w:r>
        <w:rPr>
          <w:rFonts w:hint="eastAsia" w:ascii="楷体" w:hAnsi="楷体" w:eastAsia="楷体" w:cs="楷体"/>
          <w:i w:val="0"/>
          <w:iCs w:val="0"/>
          <w:caps w:val="0"/>
          <w:color w:val="auto"/>
          <w:spacing w:val="0"/>
          <w:sz w:val="32"/>
          <w:szCs w:val="32"/>
          <w:shd w:val="clear" w:color="auto" w:fill="FFFFFF"/>
          <w:lang w:eastAsia="zh-CN"/>
        </w:rPr>
        <w:t>合作</w:t>
      </w:r>
      <w:r>
        <w:rPr>
          <w:rFonts w:hint="eastAsia" w:ascii="楷体" w:hAnsi="楷体" w:eastAsia="楷体" w:cs="楷体"/>
          <w:i w:val="0"/>
          <w:iCs w:val="0"/>
          <w:caps w:val="0"/>
          <w:color w:val="auto"/>
          <w:spacing w:val="0"/>
          <w:sz w:val="32"/>
          <w:szCs w:val="32"/>
          <w:shd w:val="clear" w:color="auto" w:fill="FFFFFF"/>
        </w:rPr>
        <w:t>社、</w:t>
      </w:r>
      <w:r>
        <w:rPr>
          <w:rFonts w:hint="eastAsia" w:ascii="楷体" w:hAnsi="楷体" w:eastAsia="楷体" w:cs="楷体"/>
          <w:i w:val="0"/>
          <w:iCs w:val="0"/>
          <w:caps w:val="0"/>
          <w:color w:val="auto"/>
          <w:spacing w:val="0"/>
          <w:sz w:val="32"/>
          <w:szCs w:val="32"/>
          <w:shd w:val="clear" w:color="auto" w:fill="FFFFFF"/>
          <w:lang w:eastAsia="zh-CN"/>
        </w:rPr>
        <w:t>区商务综合服务中心</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城管局）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.处置设施建设利用</w:t>
      </w:r>
      <w:r>
        <w:rPr>
          <w:rFonts w:hint="eastAsia" w:ascii="仿宋_GB2312" w:hAnsi="仿宋_GB2312" w:eastAsia="仿宋_GB2312" w:cs="仿宋_GB2312"/>
          <w:i w:val="0"/>
          <w:iCs w:val="0"/>
          <w:caps w:val="0"/>
          <w:color w:val="auto"/>
          <w:spacing w:val="0"/>
          <w:sz w:val="32"/>
          <w:szCs w:val="32"/>
          <w:shd w:val="clear" w:color="auto" w:fill="FFFFFF"/>
          <w:lang w:eastAsia="zh-CN"/>
        </w:rPr>
        <w:t>充分得当</w:t>
      </w:r>
      <w:r>
        <w:rPr>
          <w:rFonts w:hint="eastAsia" w:ascii="仿宋_GB2312" w:hAnsi="仿宋_GB2312" w:eastAsia="仿宋_GB2312" w:cs="仿宋_GB2312"/>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城镇污水处理厂污泥</w:t>
      </w:r>
      <w:r>
        <w:rPr>
          <w:rFonts w:hint="eastAsia" w:ascii="仿宋_GB2312" w:hAnsi="仿宋_GB2312" w:eastAsia="仿宋_GB2312" w:cs="仿宋_GB2312"/>
          <w:i w:val="0"/>
          <w:iCs w:val="0"/>
          <w:caps w:val="0"/>
          <w:color w:val="auto"/>
          <w:spacing w:val="0"/>
          <w:sz w:val="32"/>
          <w:szCs w:val="32"/>
          <w:shd w:val="clear" w:color="auto" w:fill="FFFFFF"/>
          <w:lang w:eastAsia="zh-CN"/>
        </w:rPr>
        <w:t>得到</w:t>
      </w:r>
      <w:r>
        <w:rPr>
          <w:rFonts w:hint="eastAsia" w:ascii="仿宋_GB2312" w:hAnsi="仿宋_GB2312" w:eastAsia="仿宋_GB2312" w:cs="仿宋_GB2312"/>
          <w:i w:val="0"/>
          <w:iCs w:val="0"/>
          <w:caps w:val="0"/>
          <w:color w:val="auto"/>
          <w:spacing w:val="0"/>
          <w:sz w:val="32"/>
          <w:szCs w:val="32"/>
          <w:shd w:val="clear" w:color="auto" w:fill="FFFFFF"/>
        </w:rPr>
        <w:t>安全处理处置。鼓励污水处理企业采取焚烧发电、水泥窑协同处置方式处置污泥。加快污泥减量改造，新建、改建和扩建的污水处理厂，出厂污泥含水率不高于65%。到2025年，全</w:t>
      </w:r>
      <w:r>
        <w:rPr>
          <w:rFonts w:hint="eastAsia" w:ascii="仿宋_GB2312" w:hAnsi="仿宋_GB2312" w:eastAsia="仿宋_GB2312" w:cs="仿宋_GB2312"/>
          <w:i w:val="0"/>
          <w:iCs w:val="0"/>
          <w:caps w:val="0"/>
          <w:color w:val="auto"/>
          <w:spacing w:val="0"/>
          <w:sz w:val="32"/>
          <w:szCs w:val="32"/>
          <w:shd w:val="clear" w:color="auto" w:fill="FFFFFF"/>
          <w:lang w:eastAsia="zh-CN"/>
        </w:rPr>
        <w:t>区</w:t>
      </w:r>
      <w:r>
        <w:rPr>
          <w:rFonts w:hint="eastAsia" w:ascii="仿宋_GB2312" w:hAnsi="仿宋_GB2312" w:eastAsia="仿宋_GB2312" w:cs="仿宋_GB2312"/>
          <w:i w:val="0"/>
          <w:iCs w:val="0"/>
          <w:caps w:val="0"/>
          <w:color w:val="auto"/>
          <w:spacing w:val="0"/>
          <w:sz w:val="32"/>
          <w:szCs w:val="32"/>
          <w:shd w:val="clear" w:color="auto" w:fill="FFFFFF"/>
        </w:rPr>
        <w:t>污水处理厂污泥全部实现规范化处置。</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水务局；责任单位：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widowControl/>
        <w:shd w:val="clear" w:color="auto" w:fill="FFFFFF"/>
        <w:spacing w:before="0" w:beforeAutospacing="0" w:after="0" w:afterAutospacing="0" w:line="480" w:lineRule="atLeast"/>
        <w:ind w:firstLine="640" w:firstLineChars="200"/>
        <w:jc w:val="both"/>
        <w:rPr>
          <w:rFonts w:hint="eastAsia" w:ascii="楷体" w:hAnsi="楷体" w:eastAsia="楷体" w:cs="楷体"/>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推动</w:t>
      </w:r>
      <w:r>
        <w:rPr>
          <w:rFonts w:hint="eastAsia" w:ascii="仿宋_GB2312" w:hAnsi="仿宋_GB2312" w:eastAsia="仿宋_GB2312" w:cs="仿宋_GB2312"/>
          <w:i w:val="0"/>
          <w:iCs w:val="0"/>
          <w:caps w:val="0"/>
          <w:color w:val="auto"/>
          <w:spacing w:val="0"/>
          <w:sz w:val="32"/>
          <w:szCs w:val="32"/>
          <w:shd w:val="clear" w:color="auto" w:fill="FFFFFF"/>
        </w:rPr>
        <w:t>垃圾转运站建设管理。开展生活垃圾转运站改造提升行动，推进大中型垃圾转运站建设，加快小型转运站功能转型提升。</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城管局）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（六）</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加强重点环节管控，推动</w:t>
      </w:r>
      <w:r>
        <w:rPr>
          <w:rFonts w:hint="eastAsia" w:ascii="仿宋_GB2312" w:hAnsi="仿宋_GB2312" w:eastAsia="仿宋_GB2312" w:cs="仿宋_GB2312"/>
          <w:i w:val="0"/>
          <w:iCs w:val="0"/>
          <w:caps w:val="0"/>
          <w:color w:val="auto"/>
          <w:spacing w:val="0"/>
          <w:sz w:val="32"/>
          <w:szCs w:val="32"/>
          <w:shd w:val="clear" w:color="auto" w:fill="FFFFFF"/>
        </w:rPr>
        <w:t>绿色低碳建筑</w:t>
      </w:r>
      <w:r>
        <w:rPr>
          <w:rFonts w:hint="eastAsia" w:ascii="仿宋_GB2312" w:hAnsi="仿宋_GB2312" w:eastAsia="仿宋_GB2312" w:cs="仿宋_GB2312"/>
          <w:i w:val="0"/>
          <w:iCs w:val="0"/>
          <w:caps w:val="0"/>
          <w:color w:val="auto"/>
          <w:spacing w:val="0"/>
          <w:sz w:val="32"/>
          <w:szCs w:val="32"/>
          <w:shd w:val="clear" w:color="auto" w:fill="FFFFFF"/>
          <w:lang w:val="en-US" w:eastAsia="zh-CN"/>
        </w:rPr>
        <w:t>发展</w:t>
      </w:r>
      <w:r>
        <w:rPr>
          <w:rFonts w:hint="eastAsia" w:ascii="仿宋_GB2312" w:hAnsi="仿宋_GB2312" w:eastAsia="仿宋_GB2312" w:cs="仿宋_GB2312"/>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1.加强绿色建筑和装配式建筑推广应用。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推动</w:t>
      </w:r>
      <w:r>
        <w:rPr>
          <w:rFonts w:hint="eastAsia" w:ascii="仿宋_GB2312" w:hAnsi="仿宋_GB2312" w:eastAsia="仿宋_GB2312" w:cs="仿宋_GB2312"/>
          <w:i w:val="0"/>
          <w:iCs w:val="0"/>
          <w:caps w:val="0"/>
          <w:color w:val="auto"/>
          <w:spacing w:val="0"/>
          <w:sz w:val="32"/>
          <w:szCs w:val="32"/>
          <w:shd w:val="clear" w:color="auto" w:fill="FFFFFF"/>
        </w:rPr>
        <w:t>绿色建筑</w:t>
      </w:r>
      <w:r>
        <w:rPr>
          <w:rFonts w:hint="eastAsia" w:ascii="仿宋_GB2312" w:hAnsi="仿宋_GB2312" w:eastAsia="仿宋_GB2312" w:cs="仿宋_GB2312"/>
          <w:i w:val="0"/>
          <w:iCs w:val="0"/>
          <w:caps w:val="0"/>
          <w:color w:val="auto"/>
          <w:spacing w:val="0"/>
          <w:sz w:val="32"/>
          <w:szCs w:val="32"/>
          <w:shd w:val="clear" w:color="auto" w:fill="FFFFFF"/>
          <w:lang w:eastAsia="zh-CN"/>
        </w:rPr>
        <w:t>发展</w:t>
      </w:r>
      <w:r>
        <w:rPr>
          <w:rFonts w:hint="eastAsia" w:ascii="仿宋_GB2312" w:hAnsi="仿宋_GB2312" w:eastAsia="仿宋_GB2312" w:cs="仿宋_GB2312"/>
          <w:i w:val="0"/>
          <w:iCs w:val="0"/>
          <w:caps w:val="0"/>
          <w:color w:val="auto"/>
          <w:spacing w:val="0"/>
          <w:sz w:val="32"/>
          <w:szCs w:val="32"/>
          <w:shd w:val="clear" w:color="auto" w:fill="FFFFFF"/>
        </w:rPr>
        <w:t>。政府投资或以政府投资为主的公共建筑及其他大型公共建筑，按照二星级以上绿色建筑标准建设；其他投资类公共建筑，按照一星级以上绿色建筑标准建设；新建超高层建筑绿色建筑水平不得低于三星级标准；建筑面积大于20万平方米的商品住宅小区按照二星级以上绿色建筑标准进行建设。到2025年，城镇新建民用建筑绿色建筑占比稳定在100%，其中星级以上绿色建筑面积比例达到40%以上。</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住房城乡建设局；责任单位：</w:t>
      </w:r>
      <w:r>
        <w:rPr>
          <w:rFonts w:hint="eastAsia" w:ascii="楷体" w:hAnsi="楷体" w:eastAsia="楷体" w:cs="楷体"/>
          <w:i w:val="0"/>
          <w:iCs w:val="0"/>
          <w:caps w:val="0"/>
          <w:color w:val="auto"/>
          <w:spacing w:val="0"/>
          <w:sz w:val="32"/>
          <w:szCs w:val="32"/>
          <w:shd w:val="clear" w:color="auto" w:fill="FFFFFF"/>
          <w:lang w:eastAsia="zh-CN"/>
        </w:rPr>
        <w:t>区发展改革局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行政审批服务局）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积极</w:t>
      </w:r>
      <w:r>
        <w:rPr>
          <w:rFonts w:hint="eastAsia" w:ascii="仿宋_GB2312" w:hAnsi="仿宋_GB2312" w:eastAsia="仿宋_GB2312" w:cs="仿宋_GB2312"/>
          <w:i w:val="0"/>
          <w:iCs w:val="0"/>
          <w:caps w:val="0"/>
          <w:color w:val="auto"/>
          <w:spacing w:val="0"/>
          <w:sz w:val="32"/>
          <w:szCs w:val="32"/>
          <w:shd w:val="clear" w:color="auto" w:fill="FFFFFF"/>
        </w:rPr>
        <w:t>发展装配式建筑。政府投资或国有资金投资建筑工程应按规定采用装配式建筑，其他项目装配式建筑占比不低于50%。大力推动钢结构建筑，新建学校、医院等公共建筑原则上采用钢结构；政府投资或国有资金投资的公共租赁住房、公寓（宿舍）、校舍等工程全面采用钢结构装配式建造方式；保障性住房、棚户区改造安置房优先采用钢结构装配式技术建造，积极推进钢结构住宅和农房建设。鼓励有条件的区域推进模块化建筑试点。全面推广预制构件，其中新建住宅项目全面采用预制楼梯、楼板、等装配式部品部件，具备条件的地下车库优先采用装配式建设，积极推动市政工程采用装配式技术建造。</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住房城乡建设局；责任单位：</w:t>
      </w:r>
      <w:r>
        <w:rPr>
          <w:rFonts w:hint="eastAsia" w:ascii="楷体" w:hAnsi="楷体" w:eastAsia="楷体" w:cs="楷体"/>
          <w:i w:val="0"/>
          <w:iCs w:val="0"/>
          <w:caps w:val="0"/>
          <w:color w:val="auto"/>
          <w:spacing w:val="0"/>
          <w:sz w:val="32"/>
          <w:szCs w:val="32"/>
          <w:shd w:val="clear" w:color="auto" w:fill="FFFFFF"/>
          <w:lang w:eastAsia="zh-CN"/>
        </w:rPr>
        <w:t>区发展改革局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区教育和体育局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农业农村局、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卫生健康</w:t>
      </w:r>
      <w:r>
        <w:rPr>
          <w:rFonts w:hint="eastAsia" w:ascii="楷体" w:hAnsi="楷体" w:eastAsia="楷体" w:cs="楷体"/>
          <w:i w:val="0"/>
          <w:iCs w:val="0"/>
          <w:caps w:val="0"/>
          <w:color w:val="auto"/>
          <w:spacing w:val="0"/>
          <w:sz w:val="32"/>
          <w:szCs w:val="32"/>
          <w:shd w:val="clear" w:color="auto" w:fill="FFFFFF"/>
          <w:lang w:eastAsia="zh-CN"/>
        </w:rPr>
        <w:t>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行政审批服务局）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2.</w:t>
      </w:r>
      <w:r>
        <w:rPr>
          <w:rFonts w:hint="eastAsia" w:ascii="仿宋_GB2312" w:hAnsi="仿宋_GB2312" w:eastAsia="仿宋_GB2312" w:cs="仿宋_GB2312"/>
          <w:i w:val="0"/>
          <w:iCs w:val="0"/>
          <w:caps w:val="0"/>
          <w:color w:val="auto"/>
          <w:spacing w:val="0"/>
          <w:sz w:val="32"/>
          <w:szCs w:val="32"/>
          <w:shd w:val="clear" w:color="auto" w:fill="FFFFFF"/>
          <w:lang w:val="en-US" w:eastAsia="zh-CN"/>
        </w:rPr>
        <w:t>推进建筑垃圾多渠道消纳，</w:t>
      </w:r>
      <w:r>
        <w:rPr>
          <w:rFonts w:hint="eastAsia" w:ascii="仿宋_GB2312" w:hAnsi="仿宋_GB2312" w:eastAsia="仿宋_GB2312" w:cs="仿宋_GB2312"/>
          <w:i w:val="0"/>
          <w:iCs w:val="0"/>
          <w:caps w:val="0"/>
          <w:color w:val="auto"/>
          <w:spacing w:val="0"/>
          <w:sz w:val="32"/>
          <w:szCs w:val="32"/>
          <w:shd w:val="clear" w:color="auto" w:fill="FFFFFF"/>
        </w:rPr>
        <w:t>提高建筑垃圾综合利用水平。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推动</w:t>
      </w:r>
      <w:r>
        <w:rPr>
          <w:rFonts w:hint="eastAsia" w:ascii="仿宋_GB2312" w:hAnsi="仿宋_GB2312" w:eastAsia="仿宋_GB2312" w:cs="仿宋_GB2312"/>
          <w:i w:val="0"/>
          <w:iCs w:val="0"/>
          <w:caps w:val="0"/>
          <w:color w:val="auto"/>
          <w:spacing w:val="0"/>
          <w:sz w:val="32"/>
          <w:szCs w:val="32"/>
          <w:shd w:val="clear" w:color="auto" w:fill="FFFFFF"/>
        </w:rPr>
        <w:t>建筑垃圾源头减量。鼓励推广和应用新标准、新技术、新材料、新工艺，促进建筑垃圾源头减量。引导建设单位提高建筑物耐久性，实现建筑构配件可替换、可维修；采取绿色施工有关技术规范开展施工活动，减少建筑材料消耗和建筑垃圾产生。</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区住房城乡建设局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加强</w:t>
      </w:r>
      <w:r>
        <w:rPr>
          <w:rFonts w:hint="eastAsia" w:ascii="仿宋_GB2312" w:hAnsi="仿宋_GB2312" w:eastAsia="仿宋_GB2312" w:cs="仿宋_GB2312"/>
          <w:i w:val="0"/>
          <w:iCs w:val="0"/>
          <w:caps w:val="0"/>
          <w:color w:val="auto"/>
          <w:spacing w:val="0"/>
          <w:sz w:val="32"/>
          <w:szCs w:val="32"/>
          <w:shd w:val="clear" w:color="auto" w:fill="FFFFFF"/>
        </w:rPr>
        <w:t>建筑垃圾分类管理。明确工地建筑垃圾分类的标准与规范，各工地主管部门督导工地严格落实建筑垃圾分类制度</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区城管局</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区住房城乡建设局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交通运输局、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水务局、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园林绿化和林业</w:t>
      </w:r>
      <w:r>
        <w:rPr>
          <w:rFonts w:hint="eastAsia" w:ascii="楷体" w:hAnsi="楷体" w:eastAsia="楷体" w:cs="楷体"/>
          <w:i w:val="0"/>
          <w:iCs w:val="0"/>
          <w:caps w:val="0"/>
          <w:color w:val="auto"/>
          <w:spacing w:val="0"/>
          <w:sz w:val="32"/>
          <w:szCs w:val="32"/>
          <w:shd w:val="clear" w:color="auto" w:fill="FFFFFF"/>
          <w:lang w:eastAsia="zh-CN"/>
        </w:rPr>
        <w:t>发展中心</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建筑垃圾再生品</w:t>
      </w:r>
      <w:r>
        <w:rPr>
          <w:rFonts w:hint="eastAsia" w:ascii="仿宋_GB2312" w:hAnsi="仿宋_GB2312" w:eastAsia="仿宋_GB2312" w:cs="仿宋_GB2312"/>
          <w:i w:val="0"/>
          <w:iCs w:val="0"/>
          <w:caps w:val="0"/>
          <w:color w:val="auto"/>
          <w:spacing w:val="0"/>
          <w:sz w:val="32"/>
          <w:szCs w:val="32"/>
          <w:shd w:val="clear" w:color="auto" w:fill="FFFFFF"/>
          <w:lang w:eastAsia="zh-CN"/>
        </w:rPr>
        <w:t>得到有效利用</w:t>
      </w:r>
      <w:r>
        <w:rPr>
          <w:rFonts w:hint="eastAsia" w:ascii="仿宋_GB2312" w:hAnsi="仿宋_GB2312" w:eastAsia="仿宋_GB2312" w:cs="仿宋_GB2312"/>
          <w:i w:val="0"/>
          <w:iCs w:val="0"/>
          <w:caps w:val="0"/>
          <w:color w:val="auto"/>
          <w:spacing w:val="0"/>
          <w:sz w:val="32"/>
          <w:szCs w:val="32"/>
          <w:shd w:val="clear" w:color="auto" w:fill="FFFFFF"/>
        </w:rPr>
        <w:t>。政府投资工程建设项目的建设单位应在设计任务书和施工招标文件中明确建筑垃圾再生产品的使用要求，并在竣工验收报告中载明再生产品的使用情况。城镇建设用地范围内新建建筑、市政工程、景观工程等建设项目，在满足设计、技术和使用功能要求的情况下，优先使用建筑垃圾再生利用产品。设计单位应在设计说明中明确建筑垃圾再生产品的优先使用要求，施工图审查单位应对设计文件中是否明确建筑垃圾再生产品的使用要求等相关内容实施审查。</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val="en-US" w:eastAsia="zh-CN"/>
        </w:rPr>
        <w:t>区发展改革局、</w:t>
      </w:r>
      <w:r>
        <w:rPr>
          <w:rFonts w:hint="eastAsia" w:ascii="楷体" w:hAnsi="楷体" w:eastAsia="楷体" w:cs="楷体"/>
          <w:i w:val="0"/>
          <w:iCs w:val="0"/>
          <w:caps w:val="0"/>
          <w:color w:val="auto"/>
          <w:spacing w:val="0"/>
          <w:sz w:val="32"/>
          <w:szCs w:val="32"/>
          <w:shd w:val="clear" w:color="auto" w:fill="FFFFFF"/>
          <w:lang w:eastAsia="zh-CN"/>
        </w:rPr>
        <w:t>区工业和信息化局、区住房城乡建设局、区城管局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val="en-US" w:eastAsia="zh-CN"/>
        </w:rPr>
        <w:t>区交通运输局、区水务局、区园林绿化服务中心</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推进建筑垃圾资源化综合利用。采取建筑拆除现场就地处理，直接利用点、消纳场填埋消纳处理和资源化处理厂综合利用处理相结合方式，实现建筑垃圾就地就近处理和综合利用。鼓励企业以资源化利用为主线，进行拆迁、运输、处置和产品应用等产业链相关环节的整合，提高产业集中度。到2025年，新建建筑垃圾消纳场2处，新增处理能力295万吨/年；资源化利用厂</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处，新增处理能力70万吨/年；到2025年，建筑垃圾资源化利用率达到15%。</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区城管局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（七）</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加强危险废物全过程管理，提升危险废物综合治理能力</w:t>
      </w:r>
      <w:r>
        <w:rPr>
          <w:rFonts w:hint="eastAsia" w:ascii="仿宋_GB2312" w:hAnsi="仿宋_GB2312" w:eastAsia="仿宋_GB2312" w:cs="仿宋_GB2312"/>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1.严格危险废物源头管控。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严格</w:t>
      </w:r>
      <w:r>
        <w:rPr>
          <w:rFonts w:hint="eastAsia" w:ascii="仿宋_GB2312" w:hAnsi="仿宋_GB2312" w:eastAsia="仿宋_GB2312" w:cs="仿宋_GB2312"/>
          <w:i w:val="0"/>
          <w:iCs w:val="0"/>
          <w:caps w:val="0"/>
          <w:color w:val="auto"/>
          <w:spacing w:val="0"/>
          <w:sz w:val="32"/>
          <w:szCs w:val="32"/>
          <w:shd w:val="clear" w:color="auto" w:fill="FFFFFF"/>
          <w:lang w:eastAsia="zh-CN"/>
        </w:rPr>
        <w:t>落实</w:t>
      </w:r>
      <w:r>
        <w:rPr>
          <w:rFonts w:hint="eastAsia" w:ascii="仿宋_GB2312" w:hAnsi="仿宋_GB2312" w:eastAsia="仿宋_GB2312" w:cs="仿宋_GB2312"/>
          <w:i w:val="0"/>
          <w:iCs w:val="0"/>
          <w:caps w:val="0"/>
          <w:color w:val="auto"/>
          <w:spacing w:val="0"/>
          <w:sz w:val="32"/>
          <w:szCs w:val="32"/>
          <w:shd w:val="clear" w:color="auto" w:fill="FFFFFF"/>
        </w:rPr>
        <w:t>环境准入</w:t>
      </w:r>
      <w:r>
        <w:rPr>
          <w:rFonts w:hint="eastAsia" w:ascii="仿宋_GB2312" w:hAnsi="仿宋_GB2312" w:eastAsia="仿宋_GB2312" w:cs="仿宋_GB2312"/>
          <w:i w:val="0"/>
          <w:iCs w:val="0"/>
          <w:caps w:val="0"/>
          <w:color w:val="auto"/>
          <w:spacing w:val="0"/>
          <w:sz w:val="32"/>
          <w:szCs w:val="32"/>
          <w:shd w:val="clear" w:color="auto" w:fill="FFFFFF"/>
          <w:lang w:eastAsia="zh-CN"/>
        </w:rPr>
        <w:t>原则</w:t>
      </w:r>
      <w:r>
        <w:rPr>
          <w:rFonts w:hint="eastAsia" w:ascii="仿宋_GB2312" w:hAnsi="仿宋_GB2312" w:eastAsia="仿宋_GB2312" w:cs="仿宋_GB2312"/>
          <w:i w:val="0"/>
          <w:iCs w:val="0"/>
          <w:caps w:val="0"/>
          <w:color w:val="auto"/>
          <w:spacing w:val="0"/>
          <w:sz w:val="32"/>
          <w:szCs w:val="32"/>
          <w:shd w:val="clear" w:color="auto" w:fill="FFFFFF"/>
        </w:rPr>
        <w:t>。对新建、改建、扩建涉危险废物建设项目，严格落实建设项目环境影响评价要求，从严审批危险废物产生量大、本</w:t>
      </w:r>
      <w:r>
        <w:rPr>
          <w:rFonts w:hint="eastAsia" w:ascii="仿宋_GB2312" w:hAnsi="仿宋_GB2312" w:eastAsia="仿宋_GB2312" w:cs="仿宋_GB2312"/>
          <w:i w:val="0"/>
          <w:iCs w:val="0"/>
          <w:caps w:val="0"/>
          <w:color w:val="auto"/>
          <w:spacing w:val="0"/>
          <w:sz w:val="32"/>
          <w:szCs w:val="32"/>
          <w:shd w:val="clear" w:color="auto" w:fill="FFFFFF"/>
          <w:lang w:eastAsia="zh-CN"/>
        </w:rPr>
        <w:t>区</w:t>
      </w:r>
      <w:r>
        <w:rPr>
          <w:rFonts w:hint="eastAsia" w:ascii="仿宋_GB2312" w:hAnsi="仿宋_GB2312" w:eastAsia="仿宋_GB2312" w:cs="仿宋_GB2312"/>
          <w:i w:val="0"/>
          <w:iCs w:val="0"/>
          <w:caps w:val="0"/>
          <w:color w:val="auto"/>
          <w:spacing w:val="0"/>
          <w:sz w:val="32"/>
          <w:szCs w:val="32"/>
          <w:shd w:val="clear" w:color="auto" w:fill="FFFFFF"/>
        </w:rPr>
        <w:t>及周边区域无配套利用处置能力的建设项目。将已批复的重点行业涉危险废物建设项目环境影响评价文件纳入技术复核抽查范围。</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探索</w:t>
      </w:r>
      <w:r>
        <w:rPr>
          <w:rFonts w:hint="eastAsia" w:ascii="仿宋_GB2312" w:hAnsi="仿宋_GB2312" w:eastAsia="仿宋_GB2312" w:cs="仿宋_GB2312"/>
          <w:i w:val="0"/>
          <w:iCs w:val="0"/>
          <w:caps w:val="0"/>
          <w:color w:val="auto"/>
          <w:spacing w:val="0"/>
          <w:sz w:val="32"/>
          <w:szCs w:val="32"/>
          <w:shd w:val="clear" w:color="auto" w:fill="FFFFFF"/>
        </w:rPr>
        <w:t>在产企业源头减量</w:t>
      </w:r>
      <w:r>
        <w:rPr>
          <w:rFonts w:hint="eastAsia" w:ascii="仿宋_GB2312" w:hAnsi="仿宋_GB2312" w:eastAsia="仿宋_GB2312" w:cs="仿宋_GB2312"/>
          <w:i w:val="0"/>
          <w:iCs w:val="0"/>
          <w:caps w:val="0"/>
          <w:color w:val="auto"/>
          <w:spacing w:val="0"/>
          <w:sz w:val="32"/>
          <w:szCs w:val="32"/>
          <w:shd w:val="clear" w:color="auto" w:fill="FFFFFF"/>
          <w:lang w:eastAsia="zh-CN"/>
        </w:rPr>
        <w:t>技术</w:t>
      </w:r>
      <w:r>
        <w:rPr>
          <w:rFonts w:hint="eastAsia" w:ascii="仿宋_GB2312" w:hAnsi="仿宋_GB2312" w:eastAsia="仿宋_GB2312" w:cs="仿宋_GB2312"/>
          <w:i w:val="0"/>
          <w:iCs w:val="0"/>
          <w:caps w:val="0"/>
          <w:color w:val="auto"/>
          <w:spacing w:val="0"/>
          <w:sz w:val="32"/>
          <w:szCs w:val="32"/>
          <w:shd w:val="clear" w:color="auto" w:fill="FFFFFF"/>
        </w:rPr>
        <w:t>。支持研发、推广减少工业危险废物产生量和降低工业危险废物危害性的生产工艺和设备，促进从源头上减少危险废物产生量、降低危害性。</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区工业和信息化局</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区发展改革局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2.强化收集转运贮存等过程监管。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楷体"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优化全</w:t>
      </w:r>
      <w:r>
        <w:rPr>
          <w:rFonts w:hint="eastAsia" w:ascii="仿宋_GB2312" w:hAnsi="仿宋_GB2312" w:eastAsia="仿宋_GB2312" w:cs="仿宋_GB2312"/>
          <w:i w:val="0"/>
          <w:iCs w:val="0"/>
          <w:caps w:val="0"/>
          <w:color w:val="auto"/>
          <w:spacing w:val="0"/>
          <w:sz w:val="32"/>
          <w:szCs w:val="32"/>
          <w:shd w:val="clear" w:color="auto" w:fill="FFFFFF"/>
          <w:lang w:eastAsia="zh-CN"/>
        </w:rPr>
        <w:t>区</w:t>
      </w:r>
      <w:r>
        <w:rPr>
          <w:rFonts w:hint="eastAsia" w:ascii="仿宋_GB2312" w:hAnsi="仿宋_GB2312" w:eastAsia="仿宋_GB2312" w:cs="仿宋_GB2312"/>
          <w:i w:val="0"/>
          <w:iCs w:val="0"/>
          <w:caps w:val="0"/>
          <w:color w:val="auto"/>
          <w:spacing w:val="0"/>
          <w:sz w:val="32"/>
          <w:szCs w:val="32"/>
          <w:shd w:val="clear" w:color="auto" w:fill="FFFFFF"/>
        </w:rPr>
        <w:t>危险废物收集网点和贮存设施布局</w:t>
      </w:r>
      <w:r>
        <w:rPr>
          <w:rFonts w:hint="eastAsia" w:ascii="楷体" w:hAnsi="楷体" w:eastAsia="楷体" w:cs="楷体"/>
          <w:i w:val="0"/>
          <w:iCs w:val="0"/>
          <w:caps w:val="0"/>
          <w:color w:val="auto"/>
          <w:spacing w:val="0"/>
          <w:sz w:val="32"/>
          <w:szCs w:val="32"/>
          <w:shd w:val="clear" w:color="auto" w:fill="FFFFFF"/>
          <w:lang w:eastAsia="zh-CN"/>
        </w:rPr>
        <w:t>。</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自然资源局、</w:t>
      </w:r>
      <w:r>
        <w:rPr>
          <w:rFonts w:hint="eastAsia" w:ascii="楷体" w:hAnsi="楷体" w:eastAsia="楷体" w:cs="楷体"/>
          <w:i w:val="0"/>
          <w:iCs w:val="0"/>
          <w:caps w:val="0"/>
          <w:color w:val="auto"/>
          <w:spacing w:val="0"/>
          <w:sz w:val="32"/>
          <w:szCs w:val="32"/>
          <w:shd w:val="clear" w:color="auto" w:fill="FFFFFF"/>
          <w:lang w:eastAsia="zh-CN"/>
        </w:rPr>
        <w:t>区城市规划协调服务中心</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市自然资源和规划局第五分局</w:t>
      </w:r>
      <w:r>
        <w:rPr>
          <w:rFonts w:hint="eastAsia" w:ascii="楷体" w:hAnsi="楷体" w:eastAsia="楷体" w:cs="楷体"/>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推动危险废物收集、转运、贮存专业化</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持续完善危险废物收集转运体系。充分发挥危险废物专业收集企业作用，做好小微企业、第三产业、科研机构、学校等危险废物收集转运，实现危险废物应收尽收。</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加强危险废物规范化管理</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提升危险废物产废单位和经营单位的规范化管理水平，分级分类做好危险废物规范化管理指导，强化危险废物重点单位日常监管。推进和规范危险废物经营单位环境污染责任保险。</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3.增强危险废物利用处置能力。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提升危险废物自行利用处置水平</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促进危险废物利用处置产业高质量发展。定期发布危险废物相关信息，科学引导危险废物利用处置产业发展，促进规模化发展、专业化运营。</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优化危险废物利用处置设施布局。根据危险废物产生与利用处置能力匹配情况及设施运行情况评估结果，合理规划建设利用处置设施。</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自然资源局、</w:t>
      </w:r>
      <w:r>
        <w:rPr>
          <w:rFonts w:hint="eastAsia" w:ascii="楷体" w:hAnsi="楷体" w:eastAsia="楷体" w:cs="楷体"/>
          <w:i w:val="0"/>
          <w:iCs w:val="0"/>
          <w:caps w:val="0"/>
          <w:color w:val="auto"/>
          <w:spacing w:val="0"/>
          <w:sz w:val="32"/>
          <w:szCs w:val="32"/>
          <w:shd w:val="clear" w:color="auto" w:fill="FFFFFF"/>
          <w:lang w:eastAsia="zh-CN"/>
        </w:rPr>
        <w:t>区城市规划协调服务中心</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市自然资源和规划局第五分局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4.完善医疗废物全过程管理。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建立健全</w:t>
      </w:r>
      <w:r>
        <w:rPr>
          <w:rFonts w:hint="eastAsia" w:ascii="仿宋_GB2312" w:hAnsi="仿宋_GB2312" w:eastAsia="仿宋_GB2312" w:cs="仿宋_GB2312"/>
          <w:i w:val="0"/>
          <w:iCs w:val="0"/>
          <w:caps w:val="0"/>
          <w:color w:val="auto"/>
          <w:spacing w:val="0"/>
          <w:sz w:val="32"/>
          <w:szCs w:val="32"/>
          <w:shd w:val="clear" w:color="auto" w:fill="FFFFFF"/>
        </w:rPr>
        <w:t>医疗废物收集运输网络。将</w:t>
      </w:r>
      <w:r>
        <w:rPr>
          <w:rFonts w:hint="eastAsia" w:ascii="仿宋_GB2312" w:hAnsi="仿宋_GB2312" w:eastAsia="仿宋_GB2312" w:cs="仿宋_GB2312"/>
          <w:i w:val="0"/>
          <w:iCs w:val="0"/>
          <w:caps w:val="0"/>
          <w:color w:val="auto"/>
          <w:spacing w:val="0"/>
          <w:sz w:val="32"/>
          <w:szCs w:val="32"/>
          <w:shd w:val="clear" w:color="auto" w:fill="FFFFFF"/>
          <w:lang w:eastAsia="zh-CN"/>
        </w:rPr>
        <w:t>全区</w:t>
      </w:r>
      <w:r>
        <w:rPr>
          <w:rFonts w:hint="eastAsia" w:ascii="仿宋_GB2312" w:hAnsi="仿宋_GB2312" w:eastAsia="仿宋_GB2312" w:cs="仿宋_GB2312"/>
          <w:i w:val="0"/>
          <w:iCs w:val="0"/>
          <w:caps w:val="0"/>
          <w:color w:val="auto"/>
          <w:spacing w:val="0"/>
          <w:sz w:val="32"/>
          <w:szCs w:val="32"/>
          <w:shd w:val="clear" w:color="auto" w:fill="FFFFFF"/>
        </w:rPr>
        <w:t>各级各类医院、基层医疗卫生机构全部纳入医疗废物集中收集转运处置范围</w:t>
      </w:r>
      <w:r>
        <w:rPr>
          <w:rFonts w:hint="eastAsia" w:ascii="仿宋_GB2312" w:hAnsi="仿宋_GB2312" w:eastAsia="仿宋_GB2312" w:cs="仿宋_GB2312"/>
          <w:i w:val="0"/>
          <w:iCs w:val="0"/>
          <w:caps w:val="0"/>
          <w:color w:val="auto"/>
          <w:spacing w:val="0"/>
          <w:sz w:val="32"/>
          <w:szCs w:val="32"/>
          <w:shd w:val="clear" w:color="auto" w:fill="FFFFFF"/>
          <w:lang w:eastAsia="zh-CN"/>
        </w:rPr>
        <w:t>，建立</w:t>
      </w:r>
      <w:r>
        <w:rPr>
          <w:rFonts w:hint="eastAsia" w:ascii="仿宋_GB2312" w:hAnsi="仿宋_GB2312" w:eastAsia="仿宋_GB2312" w:cs="仿宋_GB2312"/>
          <w:i w:val="0"/>
          <w:iCs w:val="0"/>
          <w:caps w:val="0"/>
          <w:color w:val="auto"/>
          <w:spacing w:val="0"/>
          <w:sz w:val="32"/>
          <w:szCs w:val="32"/>
          <w:shd w:val="clear" w:color="auto" w:fill="FFFFFF"/>
        </w:rPr>
        <w:t>完善城乡一体的医疗废物收集转运体系。加大巡查力度</w:t>
      </w:r>
      <w:r>
        <w:rPr>
          <w:rFonts w:hint="eastAsia" w:ascii="仿宋_GB2312" w:hAnsi="仿宋_GB2312" w:eastAsia="仿宋_GB2312" w:cs="仿宋_GB2312"/>
          <w:i w:val="0"/>
          <w:iCs w:val="0"/>
          <w:caps w:val="0"/>
          <w:color w:val="auto"/>
          <w:spacing w:val="0"/>
          <w:sz w:val="32"/>
          <w:szCs w:val="32"/>
          <w:shd w:val="clear" w:color="auto" w:fill="FFFFFF"/>
          <w:lang w:eastAsia="zh-CN"/>
        </w:rPr>
        <w:t>，重点是基层</w:t>
      </w:r>
      <w:r>
        <w:rPr>
          <w:rFonts w:hint="eastAsia" w:ascii="仿宋_GB2312" w:hAnsi="仿宋_GB2312" w:eastAsia="仿宋_GB2312" w:cs="仿宋_GB2312"/>
          <w:i w:val="0"/>
          <w:iCs w:val="0"/>
          <w:caps w:val="0"/>
          <w:color w:val="auto"/>
          <w:spacing w:val="0"/>
          <w:sz w:val="32"/>
          <w:szCs w:val="32"/>
          <w:shd w:val="clear" w:color="auto" w:fill="FFFFFF"/>
        </w:rPr>
        <w:t>小型医疗机构，确保及时清运并依法集中处置。</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区卫生健康局</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进一步完善</w:t>
      </w:r>
      <w:r>
        <w:rPr>
          <w:rFonts w:hint="eastAsia" w:ascii="仿宋_GB2312" w:hAnsi="仿宋_GB2312" w:eastAsia="仿宋_GB2312" w:cs="仿宋_GB2312"/>
          <w:i w:val="0"/>
          <w:iCs w:val="0"/>
          <w:caps w:val="0"/>
          <w:color w:val="auto"/>
          <w:spacing w:val="0"/>
          <w:sz w:val="32"/>
          <w:szCs w:val="32"/>
          <w:shd w:val="clear" w:color="auto" w:fill="FFFFFF"/>
        </w:rPr>
        <w:t>医疗机构废弃物规范化管理水平。</w:t>
      </w:r>
      <w:r>
        <w:rPr>
          <w:rFonts w:hint="eastAsia" w:ascii="仿宋_GB2312" w:hAnsi="仿宋_GB2312" w:eastAsia="仿宋_GB2312" w:cs="仿宋_GB2312"/>
          <w:i w:val="0"/>
          <w:iCs w:val="0"/>
          <w:caps w:val="0"/>
          <w:color w:val="auto"/>
          <w:spacing w:val="0"/>
          <w:sz w:val="32"/>
          <w:szCs w:val="32"/>
          <w:shd w:val="clear" w:color="auto" w:fill="FFFFFF"/>
          <w:lang w:eastAsia="zh-CN"/>
        </w:rPr>
        <w:t>做好</w:t>
      </w:r>
      <w:r>
        <w:rPr>
          <w:rFonts w:hint="eastAsia" w:ascii="仿宋_GB2312" w:hAnsi="仿宋_GB2312" w:eastAsia="仿宋_GB2312" w:cs="仿宋_GB2312"/>
          <w:i w:val="0"/>
          <w:iCs w:val="0"/>
          <w:caps w:val="0"/>
          <w:color w:val="auto"/>
          <w:spacing w:val="0"/>
          <w:sz w:val="32"/>
          <w:szCs w:val="32"/>
          <w:shd w:val="clear" w:color="auto" w:fill="FFFFFF"/>
        </w:rPr>
        <w:t>医疗机构可回收物的回收处置渠道</w:t>
      </w:r>
      <w:r>
        <w:rPr>
          <w:rFonts w:hint="eastAsia" w:ascii="仿宋_GB2312" w:hAnsi="仿宋_GB2312" w:eastAsia="仿宋_GB2312" w:cs="仿宋_GB2312"/>
          <w:i w:val="0"/>
          <w:iCs w:val="0"/>
          <w:caps w:val="0"/>
          <w:color w:val="auto"/>
          <w:spacing w:val="0"/>
          <w:sz w:val="32"/>
          <w:szCs w:val="32"/>
          <w:shd w:val="clear" w:color="auto" w:fill="FFFFFF"/>
          <w:lang w:eastAsia="zh-CN"/>
        </w:rPr>
        <w:t>管理，规范</w:t>
      </w:r>
      <w:r>
        <w:rPr>
          <w:rFonts w:hint="eastAsia" w:ascii="仿宋_GB2312" w:hAnsi="仿宋_GB2312" w:eastAsia="仿宋_GB2312" w:cs="仿宋_GB2312"/>
          <w:i w:val="0"/>
          <w:iCs w:val="0"/>
          <w:caps w:val="0"/>
          <w:color w:val="auto"/>
          <w:spacing w:val="0"/>
          <w:sz w:val="32"/>
          <w:szCs w:val="32"/>
          <w:shd w:val="clear" w:color="auto" w:fill="FFFFFF"/>
        </w:rPr>
        <w:t>医疗机构废弃物源头分类收集工作，实现医疗机构废弃物处置的定点定向、闭环管理。</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区卫生健康局</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商务</w:t>
      </w:r>
      <w:r>
        <w:rPr>
          <w:rFonts w:hint="eastAsia" w:ascii="楷体" w:hAnsi="楷体" w:eastAsia="楷体" w:cs="楷体"/>
          <w:i w:val="0"/>
          <w:iCs w:val="0"/>
          <w:caps w:val="0"/>
          <w:color w:val="auto"/>
          <w:spacing w:val="0"/>
          <w:sz w:val="32"/>
          <w:szCs w:val="32"/>
          <w:shd w:val="clear" w:color="auto" w:fill="FFFFFF"/>
          <w:lang w:eastAsia="zh-CN"/>
        </w:rPr>
        <w:t>综合服务中心</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优化</w:t>
      </w:r>
      <w:r>
        <w:rPr>
          <w:rFonts w:hint="eastAsia" w:ascii="仿宋_GB2312" w:hAnsi="仿宋_GB2312" w:eastAsia="仿宋_GB2312" w:cs="仿宋_GB2312"/>
          <w:i w:val="0"/>
          <w:iCs w:val="0"/>
          <w:caps w:val="0"/>
          <w:color w:val="auto"/>
          <w:spacing w:val="0"/>
          <w:sz w:val="32"/>
          <w:szCs w:val="32"/>
          <w:shd w:val="clear" w:color="auto" w:fill="FFFFFF"/>
        </w:rPr>
        <w:t>医疗废物应急处置体系。完善医疗废物应急处置预案，重点提升涉疫医疗废物收运能力，强化涉疫医疗废物收运</w:t>
      </w:r>
      <w:r>
        <w:rPr>
          <w:rFonts w:hint="eastAsia" w:ascii="仿宋_GB2312" w:hAnsi="仿宋_GB2312" w:eastAsia="仿宋_GB2312" w:cs="仿宋_GB2312"/>
          <w:i w:val="0"/>
          <w:iCs w:val="0"/>
          <w:caps w:val="0"/>
          <w:color w:val="auto"/>
          <w:spacing w:val="0"/>
          <w:sz w:val="32"/>
          <w:szCs w:val="32"/>
          <w:shd w:val="clear" w:color="auto" w:fill="FFFFFF"/>
          <w:lang w:eastAsia="zh-CN"/>
        </w:rPr>
        <w:t>全</w:t>
      </w:r>
      <w:r>
        <w:rPr>
          <w:rFonts w:hint="eastAsia" w:ascii="仿宋_GB2312" w:hAnsi="仿宋_GB2312" w:eastAsia="仿宋_GB2312" w:cs="仿宋_GB2312"/>
          <w:i w:val="0"/>
          <w:iCs w:val="0"/>
          <w:caps w:val="0"/>
          <w:color w:val="auto"/>
          <w:spacing w:val="0"/>
          <w:sz w:val="32"/>
          <w:szCs w:val="32"/>
          <w:shd w:val="clear" w:color="auto" w:fill="FFFFFF"/>
        </w:rPr>
        <w:t>过程环境管理和风险防范。</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区卫生健康局</w:t>
      </w:r>
      <w:r>
        <w:rPr>
          <w:rFonts w:hint="eastAsia" w:ascii="楷体" w:hAnsi="楷体" w:eastAsia="楷体" w:cs="楷体"/>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建立</w:t>
      </w:r>
      <w:r>
        <w:rPr>
          <w:rFonts w:hint="eastAsia" w:ascii="仿宋_GB2312" w:hAnsi="仿宋_GB2312" w:eastAsia="仿宋_GB2312" w:cs="仿宋_GB2312"/>
          <w:i w:val="0"/>
          <w:iCs w:val="0"/>
          <w:caps w:val="0"/>
          <w:color w:val="auto"/>
          <w:spacing w:val="0"/>
          <w:sz w:val="32"/>
          <w:szCs w:val="32"/>
          <w:shd w:val="clear" w:color="auto" w:fill="FFFFFF"/>
        </w:rPr>
        <w:t>协同应急处置设施清单，保障重大疫情等医疗废物应急处理能力。</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区城管局</w:t>
      </w:r>
      <w:r>
        <w:rPr>
          <w:rFonts w:hint="eastAsia" w:ascii="楷体" w:hAnsi="楷体" w:eastAsia="楷体" w:cs="楷体"/>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5.提升危险废物风险防控能力。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完善危险废物监管清单并持续动态更新。建立危险废物重点监管单位清单。</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区工业和信息化局</w:t>
      </w:r>
      <w:r>
        <w:rPr>
          <w:rFonts w:hint="eastAsia" w:ascii="楷体" w:hAnsi="楷体" w:eastAsia="楷体" w:cs="楷体"/>
          <w:i w:val="0"/>
          <w:iCs w:val="0"/>
          <w:caps w:val="0"/>
          <w:color w:val="auto"/>
          <w:spacing w:val="0"/>
          <w:sz w:val="32"/>
          <w:szCs w:val="32"/>
          <w:shd w:val="clear" w:color="auto" w:fill="FFFFFF"/>
        </w:rPr>
        <w:t>、市公安局</w:t>
      </w:r>
      <w:r>
        <w:rPr>
          <w:rFonts w:hint="eastAsia" w:ascii="楷体" w:hAnsi="楷体" w:eastAsia="楷体" w:cs="楷体"/>
          <w:i w:val="0"/>
          <w:iCs w:val="0"/>
          <w:caps w:val="0"/>
          <w:color w:val="auto"/>
          <w:spacing w:val="0"/>
          <w:sz w:val="32"/>
          <w:szCs w:val="32"/>
          <w:shd w:val="clear" w:color="auto" w:fill="FFFFFF"/>
          <w:lang w:eastAsia="zh-CN"/>
        </w:rPr>
        <w:t>莱芜区分局</w:t>
      </w:r>
      <w:r>
        <w:rPr>
          <w:rFonts w:hint="eastAsia" w:ascii="楷体" w:hAnsi="楷体" w:eastAsia="楷体" w:cs="楷体"/>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结合危险废物规范化管理工作，开展危险废物申报登记等涉及危险废物数据的质量控制工作。</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建立</w:t>
      </w:r>
      <w:r>
        <w:rPr>
          <w:rFonts w:hint="eastAsia" w:ascii="仿宋_GB2312" w:hAnsi="仿宋_GB2312" w:eastAsia="仿宋_GB2312" w:cs="仿宋_GB2312"/>
          <w:i w:val="0"/>
          <w:iCs w:val="0"/>
          <w:caps w:val="0"/>
          <w:color w:val="auto"/>
          <w:spacing w:val="0"/>
          <w:sz w:val="32"/>
          <w:szCs w:val="32"/>
          <w:shd w:val="clear" w:color="auto" w:fill="FFFFFF"/>
          <w:lang w:eastAsia="zh-CN"/>
        </w:rPr>
        <w:t>健全</w:t>
      </w:r>
      <w:r>
        <w:rPr>
          <w:rFonts w:hint="eastAsia" w:ascii="仿宋_GB2312" w:hAnsi="仿宋_GB2312" w:eastAsia="仿宋_GB2312" w:cs="仿宋_GB2312"/>
          <w:i w:val="0"/>
          <w:iCs w:val="0"/>
          <w:caps w:val="0"/>
          <w:color w:val="auto"/>
          <w:spacing w:val="0"/>
          <w:sz w:val="32"/>
          <w:szCs w:val="32"/>
          <w:shd w:val="clear" w:color="auto" w:fill="FFFFFF"/>
        </w:rPr>
        <w:t>危险废物应急处置协调机制。完善环境应急响应预案，加强危险废物环境应急能力建设，保障危险废物应急处置。深入推进跨区域、跨部门</w:t>
      </w:r>
      <w:r>
        <w:rPr>
          <w:rFonts w:hint="eastAsia" w:ascii="仿宋_GB2312" w:hAnsi="仿宋_GB2312" w:eastAsia="仿宋_GB2312" w:cs="仿宋_GB2312"/>
          <w:i w:val="0"/>
          <w:iCs w:val="0"/>
          <w:caps w:val="0"/>
          <w:color w:val="auto"/>
          <w:spacing w:val="0"/>
          <w:sz w:val="32"/>
          <w:szCs w:val="32"/>
          <w:shd w:val="clear" w:color="auto" w:fill="FFFFFF"/>
          <w:lang w:eastAsia="zh-CN"/>
        </w:rPr>
        <w:t>单位</w:t>
      </w:r>
      <w:r>
        <w:rPr>
          <w:rFonts w:hint="eastAsia" w:ascii="仿宋_GB2312" w:hAnsi="仿宋_GB2312" w:eastAsia="仿宋_GB2312" w:cs="仿宋_GB2312"/>
          <w:i w:val="0"/>
          <w:iCs w:val="0"/>
          <w:caps w:val="0"/>
          <w:color w:val="auto"/>
          <w:spacing w:val="0"/>
          <w:sz w:val="32"/>
          <w:szCs w:val="32"/>
          <w:shd w:val="clear" w:color="auto" w:fill="FFFFFF"/>
        </w:rPr>
        <w:t>协同应急处置突发环境事件及其处理过程中产生的危险废物，构建现场指挥与协调制度以及信息报告和公开机制。</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提升</w:t>
      </w:r>
      <w:r>
        <w:rPr>
          <w:rFonts w:hint="eastAsia" w:ascii="仿宋_GB2312" w:hAnsi="仿宋_GB2312" w:eastAsia="仿宋_GB2312" w:cs="仿宋_GB2312"/>
          <w:i w:val="0"/>
          <w:iCs w:val="0"/>
          <w:caps w:val="0"/>
          <w:color w:val="auto"/>
          <w:spacing w:val="0"/>
          <w:sz w:val="32"/>
          <w:szCs w:val="32"/>
          <w:shd w:val="clear" w:color="auto" w:fill="FFFFFF"/>
        </w:rPr>
        <w:t>危险废物全过程信息化监管。按照“应纳尽纳”原则，督促涉危险废物单位纳入山东省固体废物和危险化学品信息化智慧监管系统，</w:t>
      </w:r>
      <w:r>
        <w:rPr>
          <w:rFonts w:hint="eastAsia" w:ascii="仿宋_GB2312" w:hAnsi="仿宋_GB2312" w:eastAsia="仿宋_GB2312" w:cs="仿宋_GB2312"/>
          <w:i w:val="0"/>
          <w:iCs w:val="0"/>
          <w:caps w:val="0"/>
          <w:color w:val="auto"/>
          <w:spacing w:val="0"/>
          <w:sz w:val="32"/>
          <w:szCs w:val="32"/>
          <w:shd w:val="clear" w:color="auto" w:fill="FFFFFF"/>
          <w:lang w:eastAsia="zh-CN"/>
        </w:rPr>
        <w:t>以</w:t>
      </w:r>
      <w:r>
        <w:rPr>
          <w:rFonts w:hint="eastAsia" w:ascii="仿宋_GB2312" w:hAnsi="仿宋_GB2312" w:eastAsia="仿宋_GB2312" w:cs="仿宋_GB2312"/>
          <w:i w:val="0"/>
          <w:iCs w:val="0"/>
          <w:caps w:val="0"/>
          <w:color w:val="auto"/>
          <w:spacing w:val="0"/>
          <w:sz w:val="32"/>
          <w:szCs w:val="32"/>
          <w:shd w:val="clear" w:color="auto" w:fill="FFFFFF"/>
        </w:rPr>
        <w:t>实现危险废物全过程动态在线监控。</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依法严厉打击危险废物环境违法行为。以废矿物油</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废酸、废铅蓄电池、医疗废物等为重点，严厉打击非法收集、贮存、转移、利用、处置危险废物等环境违法犯罪行为。严肃查处违规堆存、随意倾倒以及非法填埋危险废物等环境违法行为以及利用废旧仓库、旧厂房等从事产生危险废物的非法生产经营行为。</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区卫生健康局</w:t>
      </w:r>
      <w:r>
        <w:rPr>
          <w:rFonts w:hint="eastAsia" w:ascii="楷体" w:hAnsi="楷体" w:eastAsia="楷体" w:cs="楷体"/>
          <w:i w:val="0"/>
          <w:iCs w:val="0"/>
          <w:caps w:val="0"/>
          <w:color w:val="auto"/>
          <w:spacing w:val="0"/>
          <w:sz w:val="32"/>
          <w:szCs w:val="32"/>
          <w:shd w:val="clear" w:color="auto" w:fill="FFFFFF"/>
        </w:rPr>
        <w:t>、市公安局</w:t>
      </w:r>
      <w:r>
        <w:rPr>
          <w:rFonts w:hint="eastAsia" w:ascii="楷体" w:hAnsi="楷体" w:eastAsia="楷体" w:cs="楷体"/>
          <w:i w:val="0"/>
          <w:iCs w:val="0"/>
          <w:caps w:val="0"/>
          <w:color w:val="auto"/>
          <w:spacing w:val="0"/>
          <w:sz w:val="32"/>
          <w:szCs w:val="32"/>
          <w:shd w:val="clear" w:color="auto" w:fill="FFFFFF"/>
          <w:lang w:eastAsia="zh-CN"/>
        </w:rPr>
        <w:t>莱芜区分局</w:t>
      </w:r>
      <w:r>
        <w:rPr>
          <w:rFonts w:hint="eastAsia" w:ascii="楷体" w:hAnsi="楷体" w:eastAsia="楷体" w:cs="楷体"/>
          <w:i w:val="0"/>
          <w:iCs w:val="0"/>
          <w:caps w:val="0"/>
          <w:color w:val="auto"/>
          <w:spacing w:val="0"/>
          <w:sz w:val="32"/>
          <w:szCs w:val="32"/>
          <w:shd w:val="clear" w:color="auto" w:fill="FFFFFF"/>
        </w:rPr>
        <w:t>等有关部门）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（八）</w:t>
      </w:r>
      <w:r>
        <w:rPr>
          <w:rFonts w:hint="eastAsia" w:ascii="仿宋_GB2312" w:hAnsi="仿宋_GB2312" w:eastAsia="仿宋_GB2312" w:cs="仿宋_GB2312"/>
          <w:i w:val="0"/>
          <w:iCs w:val="0"/>
          <w:caps w:val="0"/>
          <w:color w:val="auto"/>
          <w:spacing w:val="0"/>
          <w:sz w:val="32"/>
          <w:szCs w:val="32"/>
          <w:shd w:val="clear" w:color="auto" w:fill="FFFFFF"/>
          <w:lang w:val="en-US" w:eastAsia="zh-CN"/>
        </w:rPr>
        <w:t>推动</w:t>
      </w:r>
      <w:r>
        <w:rPr>
          <w:rFonts w:hint="eastAsia" w:ascii="仿宋_GB2312" w:hAnsi="仿宋_GB2312" w:eastAsia="仿宋_GB2312" w:cs="仿宋_GB2312"/>
          <w:i w:val="0"/>
          <w:iCs w:val="0"/>
          <w:caps w:val="0"/>
          <w:color w:val="auto"/>
          <w:spacing w:val="0"/>
          <w:sz w:val="32"/>
          <w:szCs w:val="32"/>
          <w:shd w:val="clear" w:color="auto" w:fill="FFFFFF"/>
        </w:rPr>
        <w:t>“四大体系”</w:t>
      </w:r>
      <w:r>
        <w:rPr>
          <w:rFonts w:hint="eastAsia" w:ascii="仿宋_GB2312" w:hAnsi="仿宋_GB2312" w:eastAsia="仿宋_GB2312" w:cs="仿宋_GB2312"/>
          <w:i w:val="0"/>
          <w:iCs w:val="0"/>
          <w:caps w:val="0"/>
          <w:color w:val="auto"/>
          <w:spacing w:val="0"/>
          <w:sz w:val="32"/>
          <w:szCs w:val="32"/>
          <w:shd w:val="clear" w:color="auto" w:fill="FFFFFF"/>
          <w:lang w:val="en-US" w:eastAsia="zh-CN"/>
        </w:rPr>
        <w:t>完善</w:t>
      </w:r>
      <w:r>
        <w:rPr>
          <w:rFonts w:hint="eastAsia" w:ascii="仿宋_GB2312" w:hAnsi="仿宋_GB2312" w:eastAsia="仿宋_GB2312" w:cs="仿宋_GB2312"/>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强化制度体系建设。梳理完善现有固体废物管理相关制度措施。稳步推进涉固体废物企业排污许可证核发工作，落实固体废物排污许可相关事项和管理要求。</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区工业和信息化局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区城管局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农业农村局、</w:t>
      </w:r>
      <w:r>
        <w:rPr>
          <w:rFonts w:hint="eastAsia" w:ascii="楷体" w:hAnsi="楷体" w:eastAsia="楷体" w:cs="楷体"/>
          <w:i w:val="0"/>
          <w:iCs w:val="0"/>
          <w:caps w:val="0"/>
          <w:color w:val="auto"/>
          <w:spacing w:val="0"/>
          <w:sz w:val="32"/>
          <w:szCs w:val="32"/>
          <w:shd w:val="clear" w:color="auto" w:fill="FFFFFF"/>
          <w:lang w:eastAsia="zh-CN"/>
        </w:rPr>
        <w:t>区卫生健康局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激发市场主体活力。强化对废旧农膜、秸秆、可再生资源、农业包装废弃物等各类回收利用主体的政策扶持。大力推广建筑垃圾再生品等资源综合利用产品，按照国家和省统一要求，严格执行资源利用产品相关政府采购要求。按照国家和省相关规定，落实</w:t>
      </w:r>
      <w:r>
        <w:rPr>
          <w:rFonts w:hint="eastAsia" w:ascii="仿宋_GB2312" w:hAnsi="仿宋_GB2312" w:eastAsia="仿宋_GB2312" w:cs="仿宋_GB2312"/>
          <w:i w:val="0"/>
          <w:iCs w:val="0"/>
          <w:caps w:val="0"/>
          <w:color w:val="auto"/>
          <w:spacing w:val="0"/>
          <w:sz w:val="32"/>
          <w:szCs w:val="32"/>
          <w:shd w:val="clear" w:color="auto" w:fill="FFFFFF"/>
          <w:lang w:val="en-US" w:eastAsia="zh-CN"/>
        </w:rPr>
        <w:t>相关</w:t>
      </w:r>
      <w:r>
        <w:rPr>
          <w:rFonts w:hint="eastAsia" w:ascii="仿宋_GB2312" w:hAnsi="仿宋_GB2312" w:eastAsia="仿宋_GB2312" w:cs="仿宋_GB2312"/>
          <w:i w:val="0"/>
          <w:iCs w:val="0"/>
          <w:caps w:val="0"/>
          <w:color w:val="auto"/>
          <w:spacing w:val="0"/>
          <w:sz w:val="32"/>
          <w:szCs w:val="32"/>
          <w:shd w:val="clear" w:color="auto" w:fill="FFFFFF"/>
        </w:rPr>
        <w:t>税收优惠政策。严格执行企业环境信用评价制度。</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区工业和信息化局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财政局、</w:t>
      </w:r>
      <w:r>
        <w:rPr>
          <w:rFonts w:hint="eastAsia" w:ascii="楷体" w:hAnsi="楷体" w:eastAsia="楷体" w:cs="楷体"/>
          <w:i w:val="0"/>
          <w:iCs w:val="0"/>
          <w:caps w:val="0"/>
          <w:color w:val="auto"/>
          <w:spacing w:val="0"/>
          <w:sz w:val="32"/>
          <w:szCs w:val="32"/>
          <w:shd w:val="clear" w:color="auto" w:fill="FFFFFF"/>
          <w:lang w:eastAsia="zh-CN"/>
        </w:rPr>
        <w:t>区住房城乡建设局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农业农村局、</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商务</w:t>
      </w:r>
      <w:r>
        <w:rPr>
          <w:rFonts w:hint="eastAsia" w:ascii="楷体" w:hAnsi="楷体" w:eastAsia="楷体" w:cs="楷体"/>
          <w:i w:val="0"/>
          <w:iCs w:val="0"/>
          <w:caps w:val="0"/>
          <w:color w:val="auto"/>
          <w:spacing w:val="0"/>
          <w:sz w:val="32"/>
          <w:szCs w:val="32"/>
          <w:shd w:val="clear" w:color="auto" w:fill="FFFFFF"/>
          <w:lang w:eastAsia="zh-CN"/>
        </w:rPr>
        <w:t>综合服务中心</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税务局）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加强科技创新支撑</w:t>
      </w:r>
      <w:r>
        <w:rPr>
          <w:rFonts w:hint="eastAsia" w:ascii="仿宋_GB2312" w:hAnsi="仿宋_GB2312" w:eastAsia="仿宋_GB2312" w:cs="仿宋_GB2312"/>
          <w:i w:val="0"/>
          <w:iCs w:val="0"/>
          <w:caps w:val="0"/>
          <w:color w:val="auto"/>
          <w:spacing w:val="0"/>
          <w:sz w:val="32"/>
          <w:szCs w:val="32"/>
          <w:shd w:val="clear" w:color="auto" w:fill="FFFFFF"/>
        </w:rPr>
        <w:t>。组织企业申报国家、省级相关重点项目。组织</w:t>
      </w:r>
      <w:r>
        <w:rPr>
          <w:rFonts w:hint="eastAsia" w:ascii="仿宋_GB2312" w:hAnsi="仿宋_GB2312" w:eastAsia="仿宋_GB2312" w:cs="仿宋_GB2312"/>
          <w:i w:val="0"/>
          <w:iCs w:val="0"/>
          <w:caps w:val="0"/>
          <w:color w:val="auto"/>
          <w:spacing w:val="0"/>
          <w:sz w:val="32"/>
          <w:szCs w:val="32"/>
          <w:shd w:val="clear" w:color="auto" w:fill="FFFFFF"/>
          <w:lang w:eastAsia="zh-CN"/>
        </w:rPr>
        <w:t>固废处置</w:t>
      </w:r>
      <w:r>
        <w:rPr>
          <w:rFonts w:hint="eastAsia" w:ascii="仿宋_GB2312" w:hAnsi="仿宋_GB2312" w:eastAsia="仿宋_GB2312" w:cs="仿宋_GB2312"/>
          <w:i w:val="0"/>
          <w:iCs w:val="0"/>
          <w:caps w:val="0"/>
          <w:color w:val="auto"/>
          <w:spacing w:val="0"/>
          <w:sz w:val="32"/>
          <w:szCs w:val="32"/>
          <w:shd w:val="clear" w:color="auto" w:fill="FFFFFF"/>
        </w:rPr>
        <w:t>相关企业进行社会民生专项项目申报，支持相关技术及平台研发。鼓励企业联合高校和科研院所</w:t>
      </w:r>
      <w:r>
        <w:rPr>
          <w:rFonts w:hint="eastAsia" w:ascii="仿宋_GB2312" w:hAnsi="仿宋_GB2312" w:eastAsia="仿宋_GB2312" w:cs="仿宋_GB2312"/>
          <w:i w:val="0"/>
          <w:iCs w:val="0"/>
          <w:caps w:val="0"/>
          <w:color w:val="auto"/>
          <w:spacing w:val="0"/>
          <w:sz w:val="32"/>
          <w:szCs w:val="32"/>
          <w:shd w:val="clear" w:color="auto" w:fill="FFFFFF"/>
          <w:lang w:val="en-US" w:eastAsia="zh-CN"/>
        </w:rPr>
        <w:t>积极参与国家绿色技术交易</w:t>
      </w:r>
      <w:r>
        <w:rPr>
          <w:rFonts w:hint="eastAsia" w:ascii="仿宋_GB2312" w:hAnsi="仿宋_GB2312" w:eastAsia="仿宋_GB2312" w:cs="仿宋_GB2312"/>
          <w:i w:val="0"/>
          <w:iCs w:val="0"/>
          <w:caps w:val="0"/>
          <w:color w:val="auto"/>
          <w:spacing w:val="0"/>
          <w:sz w:val="32"/>
          <w:szCs w:val="32"/>
          <w:shd w:val="clear" w:color="auto" w:fill="FFFFFF"/>
        </w:rPr>
        <w:t>，依托现有固体废物资源化利用相关技术平台，促进关键核心技术攻关和成果转移转化</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强化示范带动</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rPr>
        <w:t>（牵头单位：</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科技局；责任单位：</w:t>
      </w:r>
      <w:r>
        <w:rPr>
          <w:rFonts w:hint="eastAsia" w:ascii="楷体" w:hAnsi="楷体" w:eastAsia="楷体" w:cs="楷体"/>
          <w:i w:val="0"/>
          <w:iCs w:val="0"/>
          <w:caps w:val="0"/>
          <w:color w:val="auto"/>
          <w:spacing w:val="0"/>
          <w:sz w:val="32"/>
          <w:szCs w:val="32"/>
          <w:shd w:val="clear" w:color="auto" w:fill="FFFFFF"/>
          <w:lang w:eastAsia="zh-CN"/>
        </w:rPr>
        <w:t>区发展改革局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区工业和信息化局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区城管局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农业农村局、</w:t>
      </w:r>
      <w:r>
        <w:rPr>
          <w:rFonts w:hint="eastAsia" w:ascii="楷体" w:hAnsi="楷体" w:eastAsia="楷体" w:cs="楷体"/>
          <w:i w:val="0"/>
          <w:iCs w:val="0"/>
          <w:caps w:val="0"/>
          <w:color w:val="auto"/>
          <w:spacing w:val="0"/>
          <w:sz w:val="32"/>
          <w:szCs w:val="32"/>
          <w:shd w:val="clear" w:color="auto" w:fill="FFFFFF"/>
          <w:lang w:eastAsia="zh-CN"/>
        </w:rPr>
        <w:t>区卫生健康局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0" w:firstLineChars="200"/>
        <w:jc w:val="both"/>
        <w:rPr>
          <w:rFonts w:hint="eastAsia" w:ascii="楷体" w:hAnsi="楷体" w:eastAsia="楷体" w:cs="楷体"/>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强化数字智慧监管</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完善</w:t>
      </w:r>
      <w:r>
        <w:rPr>
          <w:rFonts w:hint="eastAsia" w:ascii="仿宋_GB2312" w:hAnsi="仿宋_GB2312" w:eastAsia="仿宋_GB2312" w:cs="仿宋_GB2312"/>
          <w:i w:val="0"/>
          <w:iCs w:val="0"/>
          <w:caps w:val="0"/>
          <w:color w:val="auto"/>
          <w:spacing w:val="0"/>
          <w:sz w:val="32"/>
          <w:szCs w:val="32"/>
          <w:shd w:val="clear" w:color="auto" w:fill="FFFFFF"/>
        </w:rPr>
        <w:t>现有工业固体废物和危险化学品、医疗废物、生活垃圾监管平台，探索</w:t>
      </w:r>
      <w:r>
        <w:rPr>
          <w:rFonts w:hint="eastAsia" w:ascii="仿宋_GB2312" w:hAnsi="仿宋_GB2312" w:eastAsia="仿宋_GB2312" w:cs="仿宋_GB2312"/>
          <w:i w:val="0"/>
          <w:iCs w:val="0"/>
          <w:caps w:val="0"/>
          <w:color w:val="auto"/>
          <w:spacing w:val="0"/>
          <w:sz w:val="32"/>
          <w:szCs w:val="32"/>
          <w:shd w:val="clear" w:color="auto" w:fill="FFFFFF"/>
          <w:lang w:eastAsia="zh-CN"/>
        </w:rPr>
        <w:t>开发</w:t>
      </w:r>
      <w:r>
        <w:rPr>
          <w:rFonts w:hint="eastAsia" w:ascii="仿宋_GB2312" w:hAnsi="仿宋_GB2312" w:eastAsia="仿宋_GB2312" w:cs="仿宋_GB2312"/>
          <w:i w:val="0"/>
          <w:iCs w:val="0"/>
          <w:caps w:val="0"/>
          <w:color w:val="auto"/>
          <w:spacing w:val="0"/>
          <w:sz w:val="32"/>
          <w:szCs w:val="32"/>
          <w:shd w:val="clear" w:color="auto" w:fill="FFFFFF"/>
        </w:rPr>
        <w:t>农业固体废物等固体废物监管平台建设。探索建设工业固体废物交易信息平台，促进产废企业和用废企业良好“互动”。</w:t>
      </w:r>
      <w:r>
        <w:rPr>
          <w:rFonts w:hint="eastAsia" w:ascii="仿宋_GB2312" w:hAnsi="仿宋_GB2312" w:eastAsia="仿宋_GB2312" w:cs="仿宋_GB2312"/>
          <w:i w:val="0"/>
          <w:iCs w:val="0"/>
          <w:caps w:val="0"/>
          <w:color w:val="auto"/>
          <w:spacing w:val="0"/>
          <w:sz w:val="32"/>
          <w:szCs w:val="32"/>
          <w:shd w:val="clear" w:color="auto" w:fill="FFFFFF"/>
          <w:lang w:eastAsia="zh-CN"/>
        </w:rPr>
        <w:t>优化</w:t>
      </w:r>
      <w:r>
        <w:rPr>
          <w:rFonts w:hint="eastAsia" w:ascii="仿宋_GB2312" w:hAnsi="仿宋_GB2312" w:eastAsia="仿宋_GB2312" w:cs="仿宋_GB2312"/>
          <w:i w:val="0"/>
          <w:iCs w:val="0"/>
          <w:caps w:val="0"/>
          <w:color w:val="auto"/>
          <w:spacing w:val="0"/>
          <w:sz w:val="32"/>
          <w:szCs w:val="32"/>
          <w:shd w:val="clear" w:color="auto" w:fill="FFFFFF"/>
        </w:rPr>
        <w:t>固体废物监管队伍，提高固体废物环境监管能力。</w:t>
      </w:r>
      <w:r>
        <w:rPr>
          <w:rFonts w:hint="eastAsia" w:ascii="楷体" w:hAnsi="楷体" w:eastAsia="楷体" w:cs="楷体"/>
          <w:i w:val="0"/>
          <w:iCs w:val="0"/>
          <w:caps w:val="0"/>
          <w:color w:val="auto"/>
          <w:spacing w:val="0"/>
          <w:sz w:val="32"/>
          <w:szCs w:val="32"/>
          <w:shd w:val="clear" w:color="auto" w:fill="FFFFFF"/>
        </w:rPr>
        <w:t>（责任单位：</w:t>
      </w:r>
      <w:r>
        <w:rPr>
          <w:rFonts w:hint="eastAsia" w:ascii="楷体" w:hAnsi="楷体" w:eastAsia="楷体" w:cs="楷体"/>
          <w:i w:val="0"/>
          <w:iCs w:val="0"/>
          <w:caps w:val="0"/>
          <w:color w:val="auto"/>
          <w:spacing w:val="0"/>
          <w:sz w:val="32"/>
          <w:szCs w:val="32"/>
          <w:shd w:val="clear" w:color="auto" w:fill="FFFFFF"/>
          <w:lang w:eastAsia="zh-CN"/>
        </w:rPr>
        <w:t>区工业和信息化局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区城管局</w:t>
      </w:r>
      <w:r>
        <w:rPr>
          <w:rFonts w:hint="eastAsia" w:ascii="楷体" w:hAnsi="楷体" w:eastAsia="楷体" w:cs="楷体"/>
          <w:i w:val="0"/>
          <w:iCs w:val="0"/>
          <w:caps w:val="0"/>
          <w:color w:val="auto"/>
          <w:spacing w:val="0"/>
          <w:sz w:val="32"/>
          <w:szCs w:val="32"/>
          <w:highlight w:val="none"/>
          <w:shd w:val="clear" w:color="auto" w:fill="FFFFFF"/>
        </w:rPr>
        <w:t>、</w:t>
      </w:r>
      <w:r>
        <w:rPr>
          <w:rFonts w:hint="eastAsia" w:ascii="楷体" w:hAnsi="楷体" w:eastAsia="楷体" w:cs="楷体"/>
          <w:i w:val="0"/>
          <w:iCs w:val="0"/>
          <w:caps w:val="0"/>
          <w:color w:val="auto"/>
          <w:spacing w:val="0"/>
          <w:sz w:val="32"/>
          <w:szCs w:val="32"/>
          <w:highlight w:val="none"/>
          <w:shd w:val="clear" w:color="auto" w:fill="FFFFFF"/>
          <w:lang w:eastAsia="zh-CN"/>
        </w:rPr>
        <w:t>区</w:t>
      </w:r>
      <w:r>
        <w:rPr>
          <w:rFonts w:hint="eastAsia" w:ascii="楷体" w:hAnsi="楷体" w:eastAsia="楷体" w:cs="楷体"/>
          <w:i w:val="0"/>
          <w:iCs w:val="0"/>
          <w:caps w:val="0"/>
          <w:color w:val="auto"/>
          <w:spacing w:val="0"/>
          <w:sz w:val="32"/>
          <w:szCs w:val="32"/>
          <w:highlight w:val="none"/>
          <w:shd w:val="clear" w:color="auto" w:fill="FFFFFF"/>
        </w:rPr>
        <w:t>水务局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区</w:t>
      </w:r>
      <w:r>
        <w:rPr>
          <w:rFonts w:hint="eastAsia" w:ascii="楷体" w:hAnsi="楷体" w:eastAsia="楷体" w:cs="楷体"/>
          <w:i w:val="0"/>
          <w:iCs w:val="0"/>
          <w:caps w:val="0"/>
          <w:color w:val="auto"/>
          <w:spacing w:val="0"/>
          <w:sz w:val="32"/>
          <w:szCs w:val="32"/>
          <w:shd w:val="clear" w:color="auto" w:fill="FFFFFF"/>
        </w:rPr>
        <w:t>农业农村局、</w:t>
      </w:r>
      <w:r>
        <w:rPr>
          <w:rFonts w:hint="eastAsia" w:ascii="楷体" w:hAnsi="楷体" w:eastAsia="楷体" w:cs="楷体"/>
          <w:i w:val="0"/>
          <w:iCs w:val="0"/>
          <w:caps w:val="0"/>
          <w:color w:val="auto"/>
          <w:spacing w:val="0"/>
          <w:sz w:val="32"/>
          <w:szCs w:val="32"/>
          <w:shd w:val="clear" w:color="auto" w:fill="FFFFFF"/>
          <w:lang w:eastAsia="zh-CN"/>
        </w:rPr>
        <w:t>区卫生健康局</w:t>
      </w:r>
      <w:r>
        <w:rPr>
          <w:rFonts w:hint="eastAsia" w:ascii="楷体" w:hAnsi="楷体" w:eastAsia="楷体" w:cs="楷体"/>
          <w:i w:val="0"/>
          <w:iCs w:val="0"/>
          <w:caps w:val="0"/>
          <w:color w:val="auto"/>
          <w:spacing w:val="0"/>
          <w:sz w:val="32"/>
          <w:szCs w:val="32"/>
          <w:shd w:val="clear" w:color="auto" w:fill="FFFFFF"/>
        </w:rPr>
        <w:t>、</w:t>
      </w:r>
      <w:r>
        <w:rPr>
          <w:rFonts w:hint="eastAsia" w:ascii="楷体" w:hAnsi="楷体" w:eastAsia="楷体" w:cs="楷体"/>
          <w:i w:val="0"/>
          <w:iCs w:val="0"/>
          <w:caps w:val="0"/>
          <w:color w:val="auto"/>
          <w:spacing w:val="0"/>
          <w:sz w:val="32"/>
          <w:szCs w:val="32"/>
          <w:shd w:val="clear" w:color="auto" w:fill="FFFFFF"/>
          <w:lang w:eastAsia="zh-CN"/>
        </w:rPr>
        <w:t>市生态环境局莱芜分局</w:t>
      </w:r>
      <w:r>
        <w:rPr>
          <w:rFonts w:hint="eastAsia" w:ascii="楷体" w:hAnsi="楷体" w:eastAsia="楷体" w:cs="楷体"/>
          <w:i w:val="0"/>
          <w:iCs w:val="0"/>
          <w:caps w:val="0"/>
          <w:color w:val="auto"/>
          <w:spacing w:val="0"/>
          <w:sz w:val="32"/>
          <w:szCs w:val="32"/>
          <w:highlight w:val="none"/>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43" w:firstLineChars="200"/>
        <w:jc w:val="both"/>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shd w:val="clear" w:color="auto" w:fill="FFFFFF"/>
        </w:rPr>
        <w:t>三、保障措施</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（一）加强组织领导</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建立由区政府主要领导同志牵头，相关部门单位共同参与的组织协调机制，各单位加强协作，形成合力。</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（二）强化督导考核</w:t>
      </w:r>
      <w:r>
        <w:rPr>
          <w:rFonts w:hint="eastAsia" w:ascii="仿宋_GB2312" w:hAnsi="仿宋_GB2312" w:eastAsia="仿宋_GB2312" w:cs="仿宋_GB2312"/>
          <w:color w:val="auto"/>
          <w:sz w:val="32"/>
          <w:szCs w:val="32"/>
        </w:rPr>
        <w:t>。大力弘扬“严真细实快”工作作风，</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有关部门单位充分发挥职能作用，落实分工责任，主动作为，推动完成相关目标任务。</w:t>
      </w:r>
      <w:r>
        <w:rPr>
          <w:rFonts w:hint="eastAsia" w:ascii="仿宋_GB2312" w:hAnsi="仿宋_GB2312" w:eastAsia="仿宋_GB2312" w:cs="仿宋_GB2312"/>
          <w:color w:val="auto"/>
          <w:sz w:val="32"/>
          <w:szCs w:val="32"/>
          <w:lang w:val="en-US" w:eastAsia="zh-CN"/>
        </w:rPr>
        <w:t>建立定期总结评估机制，每年年底前对“无废城市”建设情况进行考核总结。</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（三）细化</w:t>
      </w:r>
      <w:r>
        <w:rPr>
          <w:rFonts w:hint="eastAsia" w:ascii="仿宋_GB2312" w:hAnsi="仿宋_GB2312" w:eastAsia="仿宋_GB2312" w:cs="仿宋_GB2312"/>
          <w:color w:val="auto"/>
          <w:sz w:val="32"/>
          <w:szCs w:val="32"/>
        </w:rPr>
        <w:t>推进措施。各级各部门根据目标任务，结合自身实际，进一步细化工作措施，推进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无废城市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建设任务分解</w:t>
      </w:r>
      <w:r>
        <w:rPr>
          <w:rFonts w:hint="eastAsia" w:ascii="仿宋_GB2312" w:hAnsi="仿宋_GB2312" w:eastAsia="仿宋_GB2312" w:cs="仿宋_GB2312"/>
          <w:color w:val="auto"/>
          <w:sz w:val="32"/>
          <w:szCs w:val="32"/>
        </w:rPr>
        <w:t>、督导检查和具体落实。</w:t>
      </w:r>
      <w:r>
        <w:rPr>
          <w:rFonts w:hint="eastAsia" w:ascii="仿宋_GB2312" w:hAnsi="仿宋_GB2312" w:eastAsia="仿宋_GB2312" w:cs="仿宋_GB2312"/>
          <w:color w:val="auto"/>
          <w:sz w:val="32"/>
          <w:szCs w:val="32"/>
          <w:lang w:val="en-US" w:eastAsia="zh-CN"/>
        </w:rPr>
        <w:t>积极争取省、市专项资金，落实“无废城市”建设经费保障。</w:t>
      </w:r>
      <w:r>
        <w:rPr>
          <w:rFonts w:hint="eastAsia" w:ascii="仿宋_GB2312" w:hAnsi="仿宋_GB2312" w:eastAsia="仿宋_GB2312" w:cs="仿宋_GB2312"/>
          <w:color w:val="auto"/>
          <w:sz w:val="32"/>
          <w:szCs w:val="32"/>
        </w:rPr>
        <w:t>建立长效管理机制，认真总结经验，巩固阶段成果，推动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无废城市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深入开展。</w:t>
      </w:r>
      <w:r>
        <w:rPr>
          <w:rFonts w:hint="eastAsia" w:ascii="仿宋_GB2312" w:hAnsi="仿宋_GB2312" w:eastAsia="仿宋_GB2312" w:cs="仿宋_GB2312"/>
          <w:color w:val="auto"/>
          <w:sz w:val="32"/>
          <w:szCs w:val="32"/>
          <w:lang w:val="en-US" w:eastAsia="zh-CN"/>
        </w:rPr>
        <w:t xml:space="preserve"> </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）宣传营造氛围。强化宣传，利用电视、广播等传统媒体和短视频平台向社会群众广泛宣传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无废城市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，营造浓厚社会氛围。在主流媒体、政务门户网站公布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无废城市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建设的先进经验</w:t>
      </w:r>
      <w:r>
        <w:rPr>
          <w:rFonts w:hint="eastAsia" w:ascii="仿宋_GB2312" w:hAnsi="仿宋_GB2312" w:eastAsia="仿宋_GB2312" w:cs="仿宋_GB2312"/>
          <w:color w:val="auto"/>
          <w:sz w:val="32"/>
          <w:szCs w:val="32"/>
        </w:rPr>
        <w:t>。</w:t>
      </w:r>
    </w:p>
    <w:p>
      <w:pPr>
        <w:rPr>
          <w:color w:val="auto"/>
        </w:rPr>
      </w:pPr>
    </w:p>
    <w:p>
      <w:pPr>
        <w:pStyle w:val="2"/>
        <w:rPr>
          <w:color w:val="auto"/>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附件：</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lang w:eastAsia="zh-CN"/>
        </w:rPr>
        <w:t>莱芜区</w:t>
      </w:r>
      <w:r>
        <w:rPr>
          <w:rFonts w:hint="eastAsia" w:ascii="仿宋_GB2312" w:hAnsi="仿宋_GB2312" w:eastAsia="仿宋_GB2312" w:cs="仿宋_GB2312"/>
          <w:i w:val="0"/>
          <w:iCs w:val="0"/>
          <w:caps w:val="0"/>
          <w:color w:val="auto"/>
          <w:spacing w:val="0"/>
          <w:sz w:val="32"/>
          <w:szCs w:val="32"/>
          <w:shd w:val="clear" w:color="auto" w:fill="FFFFFF"/>
        </w:rPr>
        <w:t>“无废城</w:t>
      </w:r>
      <w:r>
        <w:rPr>
          <w:rFonts w:hint="eastAsia" w:ascii="仿宋_GB2312" w:hAnsi="仿宋_GB2312" w:eastAsia="仿宋_GB2312" w:cs="仿宋_GB2312"/>
          <w:i w:val="0"/>
          <w:iCs w:val="0"/>
          <w:caps w:val="0"/>
          <w:color w:val="auto"/>
          <w:spacing w:val="0"/>
          <w:sz w:val="32"/>
          <w:szCs w:val="32"/>
          <w:shd w:val="clear" w:color="auto" w:fill="FFFFFF"/>
          <w:lang w:eastAsia="zh-CN"/>
        </w:rPr>
        <w:t>市</w:t>
      </w:r>
      <w:r>
        <w:rPr>
          <w:rFonts w:hint="eastAsia" w:ascii="仿宋_GB2312" w:hAnsi="仿宋_GB2312" w:eastAsia="仿宋_GB2312" w:cs="仿宋_GB2312"/>
          <w:i w:val="0"/>
          <w:iCs w:val="0"/>
          <w:caps w:val="0"/>
          <w:color w:val="auto"/>
          <w:spacing w:val="0"/>
          <w:sz w:val="32"/>
          <w:szCs w:val="32"/>
          <w:shd w:val="clear" w:color="auto" w:fill="FFFFFF"/>
        </w:rPr>
        <w:t>”建设实施方案（202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-2025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1600" w:firstLineChars="500"/>
        <w:jc w:val="both"/>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年）指标体系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1280" w:firstLineChars="4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lang w:eastAsia="zh-CN"/>
        </w:rPr>
        <w:t>莱芜区</w:t>
      </w:r>
      <w:r>
        <w:rPr>
          <w:rFonts w:hint="eastAsia" w:ascii="仿宋_GB2312" w:hAnsi="仿宋_GB2312" w:eastAsia="仿宋_GB2312" w:cs="仿宋_GB2312"/>
          <w:i w:val="0"/>
          <w:iCs w:val="0"/>
          <w:caps w:val="0"/>
          <w:color w:val="auto"/>
          <w:spacing w:val="0"/>
          <w:sz w:val="32"/>
          <w:szCs w:val="32"/>
          <w:shd w:val="clear" w:color="auto" w:fill="FFFFFF"/>
        </w:rPr>
        <w:t>“无废城</w:t>
      </w:r>
      <w:r>
        <w:rPr>
          <w:rFonts w:hint="eastAsia" w:ascii="仿宋_GB2312" w:hAnsi="仿宋_GB2312" w:eastAsia="仿宋_GB2312" w:cs="仿宋_GB2312"/>
          <w:i w:val="0"/>
          <w:iCs w:val="0"/>
          <w:caps w:val="0"/>
          <w:color w:val="auto"/>
          <w:spacing w:val="0"/>
          <w:sz w:val="32"/>
          <w:szCs w:val="32"/>
          <w:shd w:val="clear" w:color="auto" w:fill="FFFFFF"/>
          <w:lang w:eastAsia="zh-CN"/>
        </w:rPr>
        <w:t>市</w:t>
      </w:r>
      <w:r>
        <w:rPr>
          <w:rFonts w:hint="eastAsia" w:ascii="仿宋_GB2312" w:hAnsi="仿宋_GB2312" w:eastAsia="仿宋_GB2312" w:cs="仿宋_GB2312"/>
          <w:i w:val="0"/>
          <w:iCs w:val="0"/>
          <w:caps w:val="0"/>
          <w:color w:val="auto"/>
          <w:spacing w:val="0"/>
          <w:sz w:val="32"/>
          <w:szCs w:val="32"/>
          <w:shd w:val="clear" w:color="auto" w:fill="FFFFFF"/>
        </w:rPr>
        <w:t>”建设实施方案（202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-2025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1600" w:firstLineChars="500"/>
        <w:jc w:val="both"/>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年）项目清单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1280" w:firstLineChars="4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lang w:eastAsia="zh-CN"/>
        </w:rPr>
        <w:t>莱芜区</w:t>
      </w:r>
      <w:r>
        <w:rPr>
          <w:rFonts w:hint="eastAsia" w:ascii="仿宋_GB2312" w:hAnsi="仿宋_GB2312" w:eastAsia="仿宋_GB2312" w:cs="仿宋_GB2312"/>
          <w:i w:val="0"/>
          <w:iCs w:val="0"/>
          <w:caps w:val="0"/>
          <w:color w:val="auto"/>
          <w:spacing w:val="0"/>
          <w:sz w:val="32"/>
          <w:szCs w:val="32"/>
          <w:shd w:val="clear" w:color="auto" w:fill="FFFFFF"/>
        </w:rPr>
        <w:t>“无废城</w:t>
      </w:r>
      <w:r>
        <w:rPr>
          <w:rFonts w:hint="eastAsia" w:ascii="仿宋_GB2312" w:hAnsi="仿宋_GB2312" w:eastAsia="仿宋_GB2312" w:cs="仿宋_GB2312"/>
          <w:i w:val="0"/>
          <w:iCs w:val="0"/>
          <w:caps w:val="0"/>
          <w:color w:val="auto"/>
          <w:spacing w:val="0"/>
          <w:sz w:val="32"/>
          <w:szCs w:val="32"/>
          <w:shd w:val="clear" w:color="auto" w:fill="FFFFFF"/>
          <w:lang w:eastAsia="zh-CN"/>
        </w:rPr>
        <w:t>市</w:t>
      </w:r>
      <w:r>
        <w:rPr>
          <w:rFonts w:hint="eastAsia" w:ascii="仿宋_GB2312" w:hAnsi="仿宋_GB2312" w:eastAsia="仿宋_GB2312" w:cs="仿宋_GB2312"/>
          <w:i w:val="0"/>
          <w:iCs w:val="0"/>
          <w:caps w:val="0"/>
          <w:color w:val="auto"/>
          <w:spacing w:val="0"/>
          <w:sz w:val="32"/>
          <w:szCs w:val="32"/>
          <w:shd w:val="clear" w:color="auto" w:fill="FFFFFF"/>
        </w:rPr>
        <w:t>”建设实施方案（202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-2025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1600" w:firstLineChars="500"/>
        <w:jc w:val="both"/>
        <w:rPr>
          <w:rFonts w:hint="eastAsia"/>
          <w:color w:val="auto"/>
          <w:lang w:val="en-US" w:eastAsia="zh-CN"/>
        </w:rPr>
        <w:sectPr>
          <w:footerReference r:id="rId3" w:type="default"/>
          <w:pgSz w:w="11906" w:h="16838"/>
          <w:pgMar w:top="1984" w:right="1474" w:bottom="1701" w:left="1644" w:header="851" w:footer="992" w:gutter="0"/>
          <w:pgNumType w:fmt="decimal"/>
          <w:cols w:space="425" w:num="1"/>
          <w:docGrid w:type="lines" w:linePitch="312" w:charSpace="0"/>
        </w:sectPr>
      </w:pPr>
      <w:r>
        <w:rPr>
          <w:rFonts w:hint="eastAsia" w:ascii="仿宋_GB2312" w:hAnsi="仿宋_GB2312" w:eastAsia="仿宋_GB2312" w:cs="仿宋_GB2312"/>
          <w:i w:val="0"/>
          <w:iCs w:val="0"/>
          <w:caps w:val="0"/>
          <w:color w:val="auto"/>
          <w:spacing w:val="0"/>
          <w:sz w:val="32"/>
          <w:szCs w:val="32"/>
          <w:shd w:val="clear" w:color="auto" w:fill="FFFFFF"/>
        </w:rPr>
        <w:t>年）任务清单</w:t>
      </w:r>
    </w:p>
    <w:p>
      <w:pPr>
        <w:keepNext w:val="0"/>
        <w:keepLines w:val="0"/>
        <w:pageBreakBefore w:val="0"/>
        <w:widowControl w:val="0"/>
        <w:kinsoku/>
        <w:wordWrap/>
        <w:overflowPunct w:val="0"/>
        <w:topLinePunct w:val="0"/>
        <w:autoSpaceDE w:val="0"/>
        <w:autoSpaceDN w:val="0"/>
        <w:bidi w:val="0"/>
        <w:adjustRightInd w:val="0"/>
        <w:snapToGrid w:val="0"/>
        <w:spacing w:line="240" w:lineRule="auto"/>
        <w:textAlignment w:val="auto"/>
        <w:outlineLvl w:val="0"/>
        <w:rPr>
          <w:rFonts w:hint="eastAsia" w:ascii="黑体" w:hAnsi="黑体" w:eastAsia="黑体" w:cs="黑体"/>
          <w:color w:val="auto"/>
          <w:sz w:val="32"/>
          <w:szCs w:val="32"/>
        </w:rPr>
      </w:pPr>
      <w:r>
        <w:rPr>
          <w:rFonts w:hint="eastAsia" w:ascii="黑体" w:hAnsi="黑体" w:eastAsia="黑体" w:cs="宋体"/>
          <w:color w:val="auto"/>
          <w:kern w:val="0"/>
          <w:sz w:val="32"/>
          <w:szCs w:val="32"/>
        </w:rPr>
        <w:t>附件</w:t>
      </w:r>
      <w:r>
        <w:rPr>
          <w:rFonts w:ascii="黑体" w:hAnsi="黑体" w:eastAsia="黑体" w:cs="宋体"/>
          <w:color w:val="auto"/>
          <w:kern w:val="0"/>
          <w:sz w:val="32"/>
          <w:szCs w:val="32"/>
        </w:rPr>
        <w:t>1</w:t>
      </w:r>
    </w:p>
    <w:p>
      <w:pPr>
        <w:keepNext w:val="0"/>
        <w:keepLines w:val="0"/>
        <w:pageBreakBefore w:val="0"/>
        <w:widowControl w:val="0"/>
        <w:kinsoku/>
        <w:wordWrap/>
        <w:topLinePunct w:val="0"/>
        <w:bidi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eastAsia="zh-CN"/>
        </w:rPr>
        <w:t>莱芜区</w:t>
      </w:r>
      <w:r>
        <w:rPr>
          <w:rFonts w:hint="eastAsia" w:ascii="方正小标宋简体" w:hAnsi="方正小标宋简体" w:eastAsia="方正小标宋简体" w:cs="方正小标宋简体"/>
          <w:color w:val="auto"/>
          <w:kern w:val="0"/>
          <w:sz w:val="44"/>
          <w:szCs w:val="44"/>
        </w:rPr>
        <w:t>“无废城市”建设实施方案（2022—2025年）指标体系</w:t>
      </w:r>
    </w:p>
    <w:tbl>
      <w:tblPr>
        <w:tblStyle w:val="8"/>
        <w:tblW w:w="500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266"/>
        <w:gridCol w:w="510"/>
        <w:gridCol w:w="757"/>
        <w:gridCol w:w="2198"/>
        <w:gridCol w:w="669"/>
        <w:gridCol w:w="775"/>
        <w:gridCol w:w="802"/>
        <w:gridCol w:w="870"/>
        <w:gridCol w:w="817"/>
        <w:gridCol w:w="788"/>
        <w:gridCol w:w="1593"/>
        <w:gridCol w:w="1661"/>
        <w:gridCol w:w="15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100" w:type="pct"/>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序号</w:t>
            </w:r>
          </w:p>
        </w:tc>
        <w:tc>
          <w:tcPr>
            <w:tcW w:w="193" w:type="pct"/>
            <w:noWrap w:val="0"/>
            <w:vAlign w:val="center"/>
          </w:tcPr>
          <w:p>
            <w:pPr>
              <w:widowControl/>
              <w:adjustRightInd w:val="0"/>
              <w:snapToGrid w:val="0"/>
              <w:jc w:val="center"/>
              <w:textAlignment w:val="center"/>
              <w:rPr>
                <w:rFonts w:ascii="黑体" w:hAnsi="黑体" w:eastAsia="黑体"/>
                <w:bCs/>
                <w:color w:val="auto"/>
                <w:kern w:val="0"/>
                <w:sz w:val="21"/>
              </w:rPr>
            </w:pPr>
            <w:r>
              <w:rPr>
                <w:rFonts w:hint="eastAsia" w:ascii="黑体" w:hAnsi="黑体" w:eastAsia="黑体"/>
                <w:bCs/>
                <w:color w:val="auto"/>
                <w:kern w:val="0"/>
                <w:sz w:val="21"/>
              </w:rPr>
              <w:t>一级</w:t>
            </w:r>
          </w:p>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指标</w:t>
            </w:r>
          </w:p>
        </w:tc>
        <w:tc>
          <w:tcPr>
            <w:tcW w:w="286" w:type="pct"/>
            <w:noWrap w:val="0"/>
            <w:vAlign w:val="center"/>
          </w:tcPr>
          <w:p>
            <w:pPr>
              <w:widowControl/>
              <w:adjustRightInd w:val="0"/>
              <w:snapToGrid w:val="0"/>
              <w:jc w:val="center"/>
              <w:textAlignment w:val="center"/>
              <w:rPr>
                <w:rFonts w:ascii="黑体" w:hAnsi="黑体" w:eastAsia="黑体"/>
                <w:bCs/>
                <w:color w:val="auto"/>
                <w:kern w:val="0"/>
                <w:sz w:val="21"/>
              </w:rPr>
            </w:pPr>
            <w:r>
              <w:rPr>
                <w:rFonts w:hint="eastAsia" w:ascii="黑体" w:hAnsi="黑体" w:eastAsia="黑体"/>
                <w:bCs/>
                <w:color w:val="auto"/>
                <w:kern w:val="0"/>
                <w:sz w:val="21"/>
              </w:rPr>
              <w:t>二级</w:t>
            </w:r>
          </w:p>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指标</w:t>
            </w:r>
          </w:p>
        </w:tc>
        <w:tc>
          <w:tcPr>
            <w:tcW w:w="831" w:type="pct"/>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三级指标</w:t>
            </w:r>
          </w:p>
        </w:tc>
        <w:tc>
          <w:tcPr>
            <w:tcW w:w="253" w:type="pct"/>
            <w:noWrap w:val="0"/>
            <w:vAlign w:val="center"/>
          </w:tcPr>
          <w:p>
            <w:pPr>
              <w:widowControl/>
              <w:adjustRightInd w:val="0"/>
              <w:snapToGrid w:val="0"/>
              <w:jc w:val="center"/>
              <w:textAlignment w:val="center"/>
              <w:rPr>
                <w:rFonts w:ascii="黑体" w:hAnsi="黑体" w:eastAsia="黑体" w:cs="黑体"/>
                <w:bCs/>
                <w:color w:val="auto"/>
                <w:kern w:val="0"/>
                <w:sz w:val="21"/>
              </w:rPr>
            </w:pPr>
            <w:r>
              <w:rPr>
                <w:rFonts w:hint="eastAsia" w:ascii="黑体" w:hAnsi="黑体" w:eastAsia="黑体"/>
                <w:bCs/>
                <w:color w:val="auto"/>
                <w:kern w:val="0"/>
                <w:sz w:val="21"/>
              </w:rPr>
              <w:t>单位</w:t>
            </w:r>
          </w:p>
        </w:tc>
        <w:tc>
          <w:tcPr>
            <w:tcW w:w="293" w:type="pct"/>
            <w:noWrap w:val="0"/>
            <w:vAlign w:val="center"/>
          </w:tcPr>
          <w:p>
            <w:pPr>
              <w:widowControl/>
              <w:adjustRightInd w:val="0"/>
              <w:snapToGrid w:val="0"/>
              <w:jc w:val="center"/>
              <w:textAlignment w:val="center"/>
              <w:rPr>
                <w:rFonts w:ascii="黑体" w:hAnsi="黑体" w:eastAsia="黑体" w:cs="黑体"/>
                <w:bCs/>
                <w:color w:val="auto"/>
                <w:kern w:val="0"/>
                <w:sz w:val="21"/>
              </w:rPr>
            </w:pPr>
            <w:r>
              <w:rPr>
                <w:rFonts w:ascii="黑体" w:hAnsi="黑体" w:eastAsia="黑体"/>
                <w:bCs/>
                <w:color w:val="auto"/>
                <w:kern w:val="0"/>
                <w:sz w:val="21"/>
              </w:rPr>
              <w:t>2020</w:t>
            </w:r>
            <w:r>
              <w:rPr>
                <w:rFonts w:hint="eastAsia" w:ascii="黑体" w:hAnsi="黑体" w:eastAsia="黑体"/>
                <w:bCs/>
                <w:color w:val="auto"/>
                <w:kern w:val="0"/>
                <w:sz w:val="21"/>
              </w:rPr>
              <w:t>年</w:t>
            </w:r>
          </w:p>
        </w:tc>
        <w:tc>
          <w:tcPr>
            <w:tcW w:w="303" w:type="pct"/>
            <w:noWrap w:val="0"/>
            <w:vAlign w:val="center"/>
          </w:tcPr>
          <w:p>
            <w:pPr>
              <w:widowControl/>
              <w:adjustRightInd w:val="0"/>
              <w:snapToGrid w:val="0"/>
              <w:jc w:val="center"/>
              <w:textAlignment w:val="center"/>
              <w:rPr>
                <w:rFonts w:ascii="黑体" w:hAnsi="黑体" w:eastAsia="黑体"/>
                <w:bCs/>
                <w:color w:val="auto"/>
                <w:kern w:val="0"/>
                <w:sz w:val="21"/>
              </w:rPr>
            </w:pPr>
            <w:r>
              <w:rPr>
                <w:rFonts w:ascii="黑体" w:hAnsi="黑体" w:eastAsia="黑体"/>
                <w:bCs/>
                <w:color w:val="auto"/>
                <w:kern w:val="0"/>
                <w:sz w:val="21"/>
              </w:rPr>
              <w:t>2022</w:t>
            </w:r>
            <w:r>
              <w:rPr>
                <w:rFonts w:hint="eastAsia" w:ascii="黑体" w:hAnsi="黑体" w:eastAsia="黑体"/>
                <w:bCs/>
                <w:color w:val="auto"/>
                <w:kern w:val="0"/>
                <w:sz w:val="21"/>
              </w:rPr>
              <w:t>年</w:t>
            </w:r>
          </w:p>
        </w:tc>
        <w:tc>
          <w:tcPr>
            <w:tcW w:w="329" w:type="pct"/>
            <w:noWrap w:val="0"/>
            <w:vAlign w:val="center"/>
          </w:tcPr>
          <w:p>
            <w:pPr>
              <w:widowControl/>
              <w:adjustRightInd w:val="0"/>
              <w:snapToGrid w:val="0"/>
              <w:jc w:val="center"/>
              <w:textAlignment w:val="center"/>
              <w:rPr>
                <w:rFonts w:ascii="黑体" w:hAnsi="黑体" w:eastAsia="黑体"/>
                <w:bCs/>
                <w:color w:val="auto"/>
                <w:kern w:val="0"/>
                <w:sz w:val="21"/>
              </w:rPr>
            </w:pPr>
            <w:r>
              <w:rPr>
                <w:rFonts w:ascii="黑体" w:hAnsi="黑体" w:eastAsia="黑体"/>
                <w:bCs/>
                <w:color w:val="auto"/>
                <w:kern w:val="0"/>
                <w:sz w:val="21"/>
              </w:rPr>
              <w:t>2023</w:t>
            </w:r>
            <w:r>
              <w:rPr>
                <w:rFonts w:hint="eastAsia" w:ascii="黑体" w:hAnsi="黑体" w:eastAsia="黑体"/>
                <w:bCs/>
                <w:color w:val="auto"/>
                <w:kern w:val="0"/>
                <w:sz w:val="21"/>
              </w:rPr>
              <w:t>年</w:t>
            </w:r>
          </w:p>
        </w:tc>
        <w:tc>
          <w:tcPr>
            <w:tcW w:w="309" w:type="pct"/>
            <w:noWrap w:val="0"/>
            <w:vAlign w:val="center"/>
          </w:tcPr>
          <w:p>
            <w:pPr>
              <w:widowControl/>
              <w:adjustRightInd w:val="0"/>
              <w:snapToGrid w:val="0"/>
              <w:jc w:val="center"/>
              <w:textAlignment w:val="center"/>
              <w:rPr>
                <w:rFonts w:ascii="黑体" w:hAnsi="黑体" w:eastAsia="黑体"/>
                <w:bCs/>
                <w:color w:val="auto"/>
                <w:kern w:val="0"/>
                <w:sz w:val="21"/>
              </w:rPr>
            </w:pPr>
            <w:r>
              <w:rPr>
                <w:rFonts w:ascii="黑体" w:hAnsi="黑体" w:eastAsia="黑体"/>
                <w:bCs/>
                <w:color w:val="auto"/>
                <w:kern w:val="0"/>
                <w:sz w:val="21"/>
              </w:rPr>
              <w:t>2024</w:t>
            </w:r>
            <w:r>
              <w:rPr>
                <w:rFonts w:hint="eastAsia" w:ascii="黑体" w:hAnsi="黑体" w:eastAsia="黑体"/>
                <w:bCs/>
                <w:color w:val="auto"/>
                <w:kern w:val="0"/>
                <w:sz w:val="21"/>
              </w:rPr>
              <w:t>年</w:t>
            </w:r>
          </w:p>
        </w:tc>
        <w:tc>
          <w:tcPr>
            <w:tcW w:w="298" w:type="pct"/>
            <w:noWrap w:val="0"/>
            <w:vAlign w:val="center"/>
          </w:tcPr>
          <w:p>
            <w:pPr>
              <w:widowControl/>
              <w:adjustRightInd w:val="0"/>
              <w:snapToGrid w:val="0"/>
              <w:jc w:val="center"/>
              <w:textAlignment w:val="center"/>
              <w:rPr>
                <w:rFonts w:ascii="黑体" w:hAnsi="黑体" w:eastAsia="黑体" w:cs="黑体"/>
                <w:bCs/>
                <w:color w:val="auto"/>
                <w:kern w:val="0"/>
                <w:sz w:val="21"/>
              </w:rPr>
            </w:pPr>
            <w:r>
              <w:rPr>
                <w:rFonts w:ascii="黑体" w:hAnsi="黑体" w:eastAsia="黑体"/>
                <w:bCs/>
                <w:color w:val="auto"/>
                <w:kern w:val="0"/>
                <w:sz w:val="21"/>
              </w:rPr>
              <w:t>2025</w:t>
            </w:r>
            <w:r>
              <w:rPr>
                <w:rFonts w:hint="eastAsia" w:ascii="黑体" w:hAnsi="黑体" w:eastAsia="黑体"/>
                <w:bCs/>
                <w:color w:val="auto"/>
                <w:kern w:val="0"/>
                <w:sz w:val="21"/>
              </w:rPr>
              <w:t>年</w:t>
            </w:r>
          </w:p>
        </w:tc>
        <w:tc>
          <w:tcPr>
            <w:tcW w:w="602" w:type="pct"/>
            <w:noWrap w:val="0"/>
            <w:vAlign w:val="center"/>
          </w:tcPr>
          <w:p>
            <w:pPr>
              <w:widowControl/>
              <w:adjustRightInd w:val="0"/>
              <w:snapToGrid w:val="0"/>
              <w:jc w:val="center"/>
              <w:textAlignment w:val="center"/>
              <w:rPr>
                <w:rFonts w:ascii="黑体" w:hAnsi="黑体" w:eastAsia="黑体" w:cs="黑体"/>
                <w:bCs/>
                <w:color w:val="auto"/>
                <w:kern w:val="0"/>
                <w:sz w:val="21"/>
              </w:rPr>
            </w:pPr>
            <w:r>
              <w:rPr>
                <w:rFonts w:hint="eastAsia" w:ascii="黑体" w:hAnsi="黑体" w:eastAsia="黑体"/>
                <w:bCs/>
                <w:color w:val="auto"/>
                <w:kern w:val="0"/>
                <w:sz w:val="21"/>
              </w:rPr>
              <w:t>数据来源部门</w:t>
            </w:r>
          </w:p>
        </w:tc>
        <w:tc>
          <w:tcPr>
            <w:tcW w:w="628" w:type="pct"/>
            <w:noWrap w:val="0"/>
            <w:vAlign w:val="center"/>
          </w:tcPr>
          <w:p>
            <w:pPr>
              <w:widowControl/>
              <w:adjustRightInd w:val="0"/>
              <w:snapToGrid w:val="0"/>
              <w:jc w:val="center"/>
              <w:textAlignment w:val="center"/>
              <w:rPr>
                <w:rFonts w:ascii="黑体" w:hAnsi="黑体" w:eastAsia="黑体" w:cs="黑体"/>
                <w:bCs/>
                <w:color w:val="auto"/>
                <w:kern w:val="0"/>
                <w:sz w:val="21"/>
              </w:rPr>
            </w:pPr>
            <w:r>
              <w:rPr>
                <w:rFonts w:hint="eastAsia" w:ascii="黑体" w:hAnsi="黑体" w:eastAsia="黑体"/>
                <w:bCs/>
                <w:color w:val="auto"/>
                <w:kern w:val="0"/>
                <w:sz w:val="21"/>
              </w:rPr>
              <w:t>责任部门</w:t>
            </w:r>
          </w:p>
        </w:tc>
        <w:tc>
          <w:tcPr>
            <w:tcW w:w="569" w:type="pct"/>
            <w:noWrap w:val="0"/>
            <w:vAlign w:val="center"/>
          </w:tcPr>
          <w:p>
            <w:pPr>
              <w:widowControl/>
              <w:adjustRightInd w:val="0"/>
              <w:snapToGrid w:val="0"/>
              <w:jc w:val="center"/>
              <w:textAlignment w:val="center"/>
              <w:rPr>
                <w:rFonts w:ascii="黑体" w:hAnsi="黑体" w:eastAsia="黑体" w:cs="黑体"/>
                <w:bCs/>
                <w:color w:val="auto"/>
                <w:kern w:val="0"/>
                <w:sz w:val="21"/>
              </w:rPr>
            </w:pPr>
            <w:r>
              <w:rPr>
                <w:rFonts w:hint="eastAsia" w:ascii="黑体" w:hAnsi="黑体" w:eastAsia="黑体"/>
                <w:bCs/>
                <w:color w:val="auto"/>
                <w:kern w:val="0"/>
                <w:sz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w:t>
            </w:r>
          </w:p>
        </w:tc>
        <w:tc>
          <w:tcPr>
            <w:tcW w:w="193"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固体废物源头减量</w:t>
            </w: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工业源头减量</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一般工业固体废物产生强度★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吨/万元</w:t>
            </w:r>
          </w:p>
        </w:tc>
        <w:tc>
          <w:tcPr>
            <w:tcW w:w="293"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3.5768</w:t>
            </w:r>
          </w:p>
        </w:tc>
        <w:tc>
          <w:tcPr>
            <w:tcW w:w="303" w:type="pct"/>
            <w:noWrap w:val="0"/>
            <w:vAlign w:val="center"/>
          </w:tcPr>
          <w:p>
            <w:pPr>
              <w:widowControl/>
              <w:adjustRightInd w:val="0"/>
              <w:snapToGrid w:val="0"/>
              <w:spacing w:line="266" w:lineRule="exact"/>
              <w:jc w:val="center"/>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稳步降低</w:t>
            </w:r>
          </w:p>
        </w:tc>
        <w:tc>
          <w:tcPr>
            <w:tcW w:w="329" w:type="pct"/>
            <w:noWrap w:val="0"/>
            <w:vAlign w:val="center"/>
          </w:tcPr>
          <w:p>
            <w:pPr>
              <w:widowControl/>
              <w:adjustRightInd w:val="0"/>
              <w:snapToGrid w:val="0"/>
              <w:spacing w:line="266" w:lineRule="exact"/>
              <w:jc w:val="center"/>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稳步降低</w:t>
            </w:r>
          </w:p>
        </w:tc>
        <w:tc>
          <w:tcPr>
            <w:tcW w:w="309" w:type="pct"/>
            <w:noWrap w:val="0"/>
            <w:vAlign w:val="center"/>
          </w:tcPr>
          <w:p>
            <w:pPr>
              <w:widowControl/>
              <w:adjustRightInd w:val="0"/>
              <w:snapToGrid w:val="0"/>
              <w:spacing w:line="266" w:lineRule="exact"/>
              <w:jc w:val="center"/>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稳步降低</w:t>
            </w:r>
          </w:p>
        </w:tc>
        <w:tc>
          <w:tcPr>
            <w:tcW w:w="298" w:type="pct"/>
            <w:noWrap w:val="0"/>
            <w:vAlign w:val="center"/>
          </w:tcPr>
          <w:p>
            <w:pPr>
              <w:widowControl/>
              <w:adjustRightInd w:val="0"/>
              <w:snapToGrid w:val="0"/>
              <w:spacing w:line="266" w:lineRule="exact"/>
              <w:jc w:val="center"/>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稳步降低</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区工业和信息化局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区统计局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区工业和信息化局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稳步降低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2</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工业危险废物产生强度★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吨/万元</w:t>
            </w:r>
          </w:p>
        </w:tc>
        <w:tc>
          <w:tcPr>
            <w:tcW w:w="293"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2.98</w:t>
            </w:r>
          </w:p>
        </w:tc>
        <w:tc>
          <w:tcPr>
            <w:tcW w:w="303"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2.56</w:t>
            </w:r>
          </w:p>
        </w:tc>
        <w:tc>
          <w:tcPr>
            <w:tcW w:w="329"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eastAsia="zh-CN"/>
              </w:rPr>
              <w:t>稳步降低</w:t>
            </w:r>
          </w:p>
        </w:tc>
        <w:tc>
          <w:tcPr>
            <w:tcW w:w="309"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eastAsia="zh-CN"/>
              </w:rPr>
              <w:t>稳步降低</w:t>
            </w:r>
          </w:p>
        </w:tc>
        <w:tc>
          <w:tcPr>
            <w:tcW w:w="298"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eastAsia="zh-CN"/>
              </w:rPr>
              <w:t>稳步降低</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区统计局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稳步降低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3</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开展绿色工厂建设的企业占比</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2.89</w:t>
            </w:r>
          </w:p>
        </w:tc>
        <w:tc>
          <w:tcPr>
            <w:tcW w:w="303"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5</w:t>
            </w:r>
          </w:p>
        </w:tc>
        <w:tc>
          <w:tcPr>
            <w:tcW w:w="329"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6</w:t>
            </w:r>
          </w:p>
        </w:tc>
        <w:tc>
          <w:tcPr>
            <w:tcW w:w="309"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8</w:t>
            </w:r>
          </w:p>
        </w:tc>
        <w:tc>
          <w:tcPr>
            <w:tcW w:w="298"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区工业和信息化局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区工业和信息化局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4</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通过清洁生产审核评估工业企业占比★</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03"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29"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09"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298"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强制性清洁生产审核企业</w:t>
            </w:r>
            <w:r>
              <w:rPr>
                <w:rFonts w:hint="eastAsia" w:ascii="方正宋三_GBK" w:eastAsia="方正宋三_GBK"/>
                <w:color w:val="auto"/>
                <w:kern w:val="0"/>
                <w:sz w:val="21"/>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5</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开展生态工业园区建设、循环化改造、绿色工业园区建设的工业园区占比★</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center"/>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0</w:t>
            </w:r>
          </w:p>
        </w:tc>
        <w:tc>
          <w:tcPr>
            <w:tcW w:w="303" w:type="pct"/>
            <w:noWrap w:val="0"/>
            <w:vAlign w:val="center"/>
          </w:tcPr>
          <w:p>
            <w:pPr>
              <w:widowControl/>
              <w:adjustRightInd w:val="0"/>
              <w:snapToGrid w:val="0"/>
              <w:spacing w:line="266" w:lineRule="exact"/>
              <w:jc w:val="center"/>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0</w:t>
            </w:r>
          </w:p>
        </w:tc>
        <w:tc>
          <w:tcPr>
            <w:tcW w:w="329"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0</w:t>
            </w:r>
          </w:p>
        </w:tc>
        <w:tc>
          <w:tcPr>
            <w:tcW w:w="309"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0</w:t>
            </w:r>
          </w:p>
        </w:tc>
        <w:tc>
          <w:tcPr>
            <w:tcW w:w="298"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50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莱芜高新区管委会</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区发展改革局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区工业和信息化局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莱芜高新区管委会</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区发展改革局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区工业和信息化局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6</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城市重点行业工业企业碳排放强度降低幅度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完成市目标任务</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完成市目标任务</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完成市目标任务</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完成市目标任务</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区统计局</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7</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绿色矿山建成率★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大中小</w:t>
            </w:r>
            <w:r>
              <w:rPr>
                <w:rFonts w:hint="eastAsia" w:ascii="方正宋三_GBK" w:eastAsia="方正宋三_GBK"/>
                <w:color w:val="auto"/>
                <w:kern w:val="0"/>
                <w:sz w:val="21"/>
                <w:lang w:val="en-US" w:eastAsia="zh-CN"/>
              </w:rPr>
              <w:t>90%、80%和50%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完成市目标任务</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完成市目标任务</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完成市目标任务</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完成市目标任务</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区自然资源局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区自然资源局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8</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农业源头减量</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畜禽养殖标准化示范场占比</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9</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“三品一标”产品认证数量</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个</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1"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建筑业源头减量</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装配式建筑占新建建筑的比例</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20</w:t>
            </w:r>
          </w:p>
        </w:tc>
        <w:tc>
          <w:tcPr>
            <w:tcW w:w="303"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50</w:t>
            </w:r>
          </w:p>
        </w:tc>
        <w:tc>
          <w:tcPr>
            <w:tcW w:w="329"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50</w:t>
            </w:r>
          </w:p>
        </w:tc>
        <w:tc>
          <w:tcPr>
            <w:tcW w:w="309"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50</w:t>
            </w:r>
          </w:p>
        </w:tc>
        <w:tc>
          <w:tcPr>
            <w:tcW w:w="298"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50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区住房城乡建设局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区住房城乡建设局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1"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11</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新建建筑施工现场建筑废弃物（不包括工程渣土、工程泥浆）排放量</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吨/万平方米</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w:t>
            </w:r>
          </w:p>
        </w:tc>
        <w:tc>
          <w:tcPr>
            <w:tcW w:w="303"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default" w:ascii="方正宋三_GBK" w:eastAsia="方正宋三_GBK"/>
                <w:color w:val="auto"/>
                <w:kern w:val="0"/>
                <w:sz w:val="21"/>
                <w:lang w:val="en-US" w:eastAsia="zh-CN"/>
              </w:rPr>
              <w:t>≤</w:t>
            </w:r>
            <w:r>
              <w:rPr>
                <w:rFonts w:hint="eastAsia" w:ascii="方正宋三_GBK" w:eastAsia="方正宋三_GBK"/>
                <w:color w:val="auto"/>
                <w:kern w:val="0"/>
                <w:sz w:val="21"/>
                <w:lang w:val="en-US" w:eastAsia="zh-CN"/>
              </w:rPr>
              <w:t>300</w:t>
            </w:r>
          </w:p>
        </w:tc>
        <w:tc>
          <w:tcPr>
            <w:tcW w:w="329"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default" w:ascii="方正宋三_GBK" w:eastAsia="方正宋三_GBK"/>
                <w:color w:val="auto"/>
                <w:kern w:val="0"/>
                <w:sz w:val="21"/>
                <w:lang w:val="en-US" w:eastAsia="zh-CN"/>
              </w:rPr>
              <w:t>≤</w:t>
            </w:r>
            <w:r>
              <w:rPr>
                <w:rFonts w:hint="eastAsia" w:ascii="方正宋三_GBK" w:eastAsia="方正宋三_GBK"/>
                <w:color w:val="auto"/>
                <w:kern w:val="0"/>
                <w:sz w:val="21"/>
                <w:lang w:val="en-US" w:eastAsia="zh-CN"/>
              </w:rPr>
              <w:t>300</w:t>
            </w:r>
          </w:p>
        </w:tc>
        <w:tc>
          <w:tcPr>
            <w:tcW w:w="309"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default" w:ascii="方正宋三_GBK" w:eastAsia="方正宋三_GBK"/>
                <w:color w:val="auto"/>
                <w:kern w:val="0"/>
                <w:sz w:val="21"/>
                <w:lang w:val="en-US" w:eastAsia="zh-CN"/>
              </w:rPr>
              <w:t>≤</w:t>
            </w:r>
            <w:r>
              <w:rPr>
                <w:rFonts w:hint="eastAsia" w:ascii="方正宋三_GBK" w:eastAsia="方正宋三_GBK"/>
                <w:color w:val="auto"/>
                <w:kern w:val="0"/>
                <w:sz w:val="21"/>
                <w:lang w:val="en-US" w:eastAsia="zh-CN"/>
              </w:rPr>
              <w:t>300</w:t>
            </w:r>
          </w:p>
        </w:tc>
        <w:tc>
          <w:tcPr>
            <w:tcW w:w="298"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default" w:ascii="方正宋三_GBK" w:eastAsia="方正宋三_GBK"/>
                <w:color w:val="auto"/>
                <w:kern w:val="0"/>
                <w:sz w:val="21"/>
                <w:lang w:val="en-US" w:eastAsia="zh-CN"/>
              </w:rPr>
              <w:t>≤</w:t>
            </w:r>
            <w:r>
              <w:rPr>
                <w:rFonts w:hint="eastAsia" w:ascii="方正宋三_GBK" w:eastAsia="方正宋三_GBK"/>
                <w:color w:val="auto"/>
                <w:kern w:val="0"/>
                <w:sz w:val="21"/>
                <w:lang w:val="en-US" w:eastAsia="zh-CN"/>
              </w:rPr>
              <w:t>300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区住房城乡建设局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区住房城乡建设局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1"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12</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绿色建筑占新建建筑的比例★</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03"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29"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09"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298"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区住房城乡建设局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区住房城乡建设局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13</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生活领域源头减量</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城市居民小区生活垃圾分类覆盖率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分类投放、宣传动员、责任主体覆盖率100%，分类实效逐步推进。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14</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农村地区生活垃圾分类覆盖率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分类投放、宣传动员、责任主体覆盖率100%，分类实效逐步推进。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15</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其他生活垃圾清运量★</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万吨</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22.8</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22.42</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23.13</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23.85</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24.58</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w:t>
            </w:r>
            <w:r>
              <w:rPr>
                <w:rFonts w:hint="eastAsia" w:ascii="方正宋三_GBK" w:eastAsia="方正宋三_GBK"/>
                <w:color w:val="auto"/>
                <w:kern w:val="0"/>
                <w:sz w:val="21"/>
                <w:lang w:val="en-US" w:eastAsia="zh-CN"/>
              </w:rPr>
              <w:t>6</w:t>
            </w:r>
          </w:p>
        </w:tc>
        <w:tc>
          <w:tcPr>
            <w:tcW w:w="193"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固体废物资源化利用</w:t>
            </w: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工业固体废物资源化利用</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一般工业固体废物综合利用率★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99.5</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总体平稳</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总体平稳</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总体平稳</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总体平稳</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区工业和信息化局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区工业和信息化局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17</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工业危险废物综合利用率★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44.15</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稳步推进</w:t>
            </w:r>
          </w:p>
        </w:tc>
        <w:tc>
          <w:tcPr>
            <w:tcW w:w="329"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eastAsia="zh-CN"/>
              </w:rPr>
              <w:t>稳步推进</w:t>
            </w:r>
          </w:p>
        </w:tc>
        <w:tc>
          <w:tcPr>
            <w:tcW w:w="309"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eastAsia="zh-CN"/>
              </w:rPr>
              <w:t>稳步推进</w:t>
            </w:r>
          </w:p>
        </w:tc>
        <w:tc>
          <w:tcPr>
            <w:tcW w:w="298"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eastAsia="zh-CN"/>
              </w:rPr>
              <w:t>稳步推进</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18</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农业废弃物资源化利用</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农膜回收率★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90.7</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92</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93</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94</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95</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95%以上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19</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农药包装废弃物回收率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70.38</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82</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85</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92</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92%以上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20</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畜禽粪污综合利用率★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86.03</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90.06</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90.07</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90.07</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90.08</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2</w:t>
            </w:r>
            <w:r>
              <w:rPr>
                <w:rFonts w:hint="eastAsia" w:ascii="方正宋三_GBK" w:eastAsia="方正宋三_GBK"/>
                <w:color w:val="auto"/>
                <w:kern w:val="0"/>
                <w:sz w:val="21"/>
                <w:lang w:val="en-US" w:eastAsia="zh-CN"/>
              </w:rPr>
              <w:t>1</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秸秆综合利用率★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97.82</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97.85</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97.88</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97.9</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98</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98%以上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2</w:t>
            </w:r>
            <w:r>
              <w:rPr>
                <w:rFonts w:hint="eastAsia" w:ascii="方正宋三_GBK" w:eastAsia="方正宋三_GBK"/>
                <w:color w:val="auto"/>
                <w:kern w:val="0"/>
                <w:sz w:val="21"/>
                <w:lang w:val="en-US" w:eastAsia="zh-CN"/>
              </w:rPr>
              <w:t>2</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化学肥料施用量亩均下降幅度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3</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4</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5</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6</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区农业农村局</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区统计局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（单位耕地面积农药施用量较2020年下隆6%左右（耕地面积不变）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23</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化学农药施用量亩均下降幅度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4</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6</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8</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区农业农村局</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区统计局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单位耕地面积农药施用量较2020年下隆10%左右（耕地面积不变）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24</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建筑垃圾资源化利用</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建筑垃圾综合利用率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30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42</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63</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71</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80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区城管局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25</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建筑垃圾资源化利用率★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9.5</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11</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12</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14</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15</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26</w:t>
            </w:r>
          </w:p>
        </w:tc>
        <w:tc>
          <w:tcPr>
            <w:tcW w:w="193"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生活领域固体废物资源化利用</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生活垃圾回收利用率★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35</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36</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37</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38</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39</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区城管局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区城管局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27</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生活垃圾资源化利用率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75</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80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85</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90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区城管局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区城管局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28</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主要品种再生资源回收增长率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提高</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提高</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提高</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提高</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区商务综合服务中心</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区商务综合服务中心</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29</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医疗卫生机构可回收物回收率★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区卫生健康局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区卫生健康局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30</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车用动力电池、报废机动车等产品类废物回收体系覆盖率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区工业和信息化局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区商务综合服务中心</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区工业和信息化局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区商务综合服务中心</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车用动力电池为新能源车动力电池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31</w:t>
            </w:r>
          </w:p>
        </w:tc>
        <w:tc>
          <w:tcPr>
            <w:tcW w:w="193"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固体废物最终处置</w:t>
            </w: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一般工业固体废物贮存处置</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一般工业固体废物贮存处置量下降幅度★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下降</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下降</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下降</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下降</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32</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完成大宗工业固体废物堆存场所（含尾矿库）综合整治的堆场数量占比</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区应急局</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区应急局</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33</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危险废物安全处置</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工业危险废物填埋处置量下降幅度★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总体平稳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34</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医疗废物收集处置体系覆盖率★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区卫生健康局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区卫生健康局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35</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纳入危险废物收集处置体系的社会源危险废物产生单位数量</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家</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277</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提高</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提高</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提高</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提高</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区教育和体育局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区交通运输局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区市场监管局</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区教育和体育局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区交通运输局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区市场监管局</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稳步提高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36</w:t>
            </w:r>
          </w:p>
        </w:tc>
        <w:tc>
          <w:tcPr>
            <w:tcW w:w="193"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农业废弃物处置</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病死畜禽集中无害化处理率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区农业农村局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37</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生活领域固体废物处置</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生活垃圾焚烧处理能力占比★</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区城管局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区城管局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填埋场仅用于飞灰和应急填埋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38</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城镇污水处理厂污泥无害化处置率★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区水务局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区水务局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39</w:t>
            </w:r>
          </w:p>
        </w:tc>
        <w:tc>
          <w:tcPr>
            <w:tcW w:w="193"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保障</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能力</w:t>
            </w: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制度体系建设</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“无废城市”建设地方性法规、政策性文件及有关规划制定★</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逐年增加</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逐年增加</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逐年增加</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逐年增加</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莱芜区“无废城市”建设工作专班成员单位</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逐步完善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40</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“无废城市”建设协调机制★</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建立协调机制</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建立协调机制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41</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“无废城市”建设成效纳入政绩考核情况</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纳入</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“无废城市”建设成效作为污染防治攻坚成效考核等重要内容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42</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开展“无废城市细胞”建设的单位数量（机关、企事业单位、饭店、商场、集贸市场、社区、村镇）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个</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逐年增加</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逐年增加</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逐年增加</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逐年增加</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43</w:t>
            </w:r>
          </w:p>
        </w:tc>
        <w:tc>
          <w:tcPr>
            <w:tcW w:w="193"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市场体系建设</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“无废城市”建设项目投资总额★</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亿元</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满足项目需要</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满足项目需要</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满足项目需要</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满足项目需要</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44</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政府采购中综合利用产品占比</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推进</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推进</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推进</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推进</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区财政局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区财政局等莱芜区“无废城市”建设工作专班成员单位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45</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危险废物经营单位环境污染责任保险覆盖率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46</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纳入企业环境信用评价范围的固体废物相关企业数量占比</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47</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技术体系建设</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固体废物回收利用处置关键技术工艺、设备研发及成果转化</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项</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推进</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推进</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推进</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推进</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莱芜区“无废城市”建设工作专班成员单位</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48</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主要参与制定固体废物资源化、无害化技术标准与规范数量</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项</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推进</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推进</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推进</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推进</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莱芜区“无废城市”建设工作专班成员单位</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49</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监管体系建设</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固体废物管理信息化监管情况★</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建立生活垃圾、医疗废物、市政污泥监管平台，依托省级固废监管平台</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建设智慧生态黄河数据支撑底座，汇聚固废监管相关数据资源</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开展“无废城市”专题模块相关系统功能设计</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依托智慧生态黄河管理平台，建设“无废城市”功能模块，对“无废城市”相关指标进行可视化展示</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50</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危险废物规范化管理抽查合格率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94.88</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95</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97</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99</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5</w:t>
            </w:r>
            <w:r>
              <w:rPr>
                <w:rFonts w:hint="eastAsia" w:ascii="方正宋三_GBK" w:eastAsia="方正宋三_GBK"/>
                <w:color w:val="auto"/>
                <w:kern w:val="0"/>
                <w:sz w:val="21"/>
                <w:lang w:val="en-US" w:eastAsia="zh-CN"/>
              </w:rPr>
              <w:t>1</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固体废物环境污染刑事案件立案率★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市公安局莱芜分局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市公安局莱芜分局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5</w:t>
            </w:r>
            <w:r>
              <w:rPr>
                <w:rFonts w:hint="eastAsia" w:ascii="方正宋三_GBK" w:eastAsia="方正宋三_GBK"/>
                <w:color w:val="auto"/>
                <w:kern w:val="0"/>
                <w:sz w:val="21"/>
                <w:lang w:val="en-US" w:eastAsia="zh-CN"/>
              </w:rPr>
              <w:t>2</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固体废物环境污染案件开展生态环境损害赔偿工作的覆盖率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5</w:t>
            </w:r>
            <w:r>
              <w:rPr>
                <w:rFonts w:hint="eastAsia" w:ascii="方正宋三_GBK" w:eastAsia="方正宋三_GBK"/>
                <w:color w:val="auto"/>
                <w:kern w:val="0"/>
                <w:sz w:val="21"/>
                <w:lang w:val="en-US" w:eastAsia="zh-CN"/>
              </w:rPr>
              <w:t>3</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涉固体废物信访、投诉、举报案件办结率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5</w:t>
            </w:r>
            <w:r>
              <w:rPr>
                <w:rFonts w:hint="eastAsia" w:ascii="方正宋三_GBK" w:eastAsia="方正宋三_GBK"/>
                <w:color w:val="auto"/>
                <w:kern w:val="0"/>
                <w:sz w:val="21"/>
                <w:lang w:val="en-US" w:eastAsia="zh-CN"/>
              </w:rPr>
              <w:t>4</w:t>
            </w:r>
          </w:p>
        </w:tc>
        <w:tc>
          <w:tcPr>
            <w:tcW w:w="193"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群众获得感</w:t>
            </w: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群众获得感</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“无废城市”建设宣传教育培训普及率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90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第三方调查</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90%以上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5</w:t>
            </w:r>
            <w:r>
              <w:rPr>
                <w:rFonts w:hint="eastAsia" w:ascii="方正宋三_GBK" w:eastAsia="方正宋三_GBK"/>
                <w:color w:val="auto"/>
                <w:kern w:val="0"/>
                <w:sz w:val="21"/>
                <w:lang w:val="en-US" w:eastAsia="zh-CN"/>
              </w:rPr>
              <w:t>5</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政府、企事业单位、非政府环境组织、公众对“无废城市”建设的参与程度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提升</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提升</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提升</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提升</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第三方调查</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eastAsia="zh-CN"/>
              </w:rPr>
              <w:t>5</w:t>
            </w:r>
            <w:r>
              <w:rPr>
                <w:rFonts w:hint="eastAsia" w:ascii="方正宋三_GBK" w:eastAsia="方正宋三_GBK"/>
                <w:color w:val="auto"/>
                <w:kern w:val="0"/>
                <w:sz w:val="21"/>
                <w:lang w:val="en-US" w:eastAsia="zh-CN"/>
              </w:rPr>
              <w:t>6</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公众对“无废城市”建设成效的满意程度★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90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第三方调查</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90%以上</w:t>
            </w:r>
          </w:p>
        </w:tc>
      </w:tr>
    </w:tbl>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textAlignment w:val="auto"/>
        <w:rPr>
          <w:rFonts w:ascii="方正宋三_GBK" w:hAnsi="仿宋" w:eastAsia="方正宋三_GBK"/>
          <w:color w:val="auto"/>
          <w:sz w:val="21"/>
          <w:szCs w:val="21"/>
        </w:rPr>
      </w:pPr>
      <w:r>
        <w:rPr>
          <w:rFonts w:hint="eastAsia" w:ascii="方正宋三_GBK" w:hAnsi="仿宋" w:eastAsia="方正宋三_GBK"/>
          <w:color w:val="auto"/>
          <w:sz w:val="21"/>
          <w:szCs w:val="21"/>
        </w:rPr>
        <w:t>备注：</w:t>
      </w:r>
      <w:r>
        <w:rPr>
          <w:rFonts w:ascii="方正宋三_GBK" w:hAnsi="仿宋" w:eastAsia="方正宋三_GBK"/>
          <w:color w:val="auto"/>
          <w:sz w:val="21"/>
          <w:szCs w:val="21"/>
        </w:rPr>
        <w:t>1.</w:t>
      </w:r>
      <w:r>
        <w:rPr>
          <w:rFonts w:hint="eastAsia" w:ascii="方正宋三_GBK" w:eastAsia="方正宋三_GBK"/>
          <w:color w:val="auto"/>
          <w:sz w:val="21"/>
          <w:szCs w:val="21"/>
        </w:rPr>
        <w:t>★为《“无废城市”建设指标体系（</w:t>
      </w:r>
      <w:r>
        <w:rPr>
          <w:rFonts w:ascii="方正宋三_GBK" w:eastAsia="方正宋三_GBK"/>
          <w:color w:val="auto"/>
          <w:sz w:val="21"/>
          <w:szCs w:val="21"/>
        </w:rPr>
        <w:t>2021</w:t>
      </w:r>
      <w:r>
        <w:rPr>
          <w:rFonts w:hint="eastAsia" w:ascii="方正宋三_GBK" w:hAnsi="仿宋" w:eastAsia="方正宋三_GBK"/>
          <w:color w:val="auto"/>
          <w:sz w:val="21"/>
          <w:szCs w:val="21"/>
        </w:rPr>
        <w:t>年版）》</w:t>
      </w:r>
      <w:r>
        <w:rPr>
          <w:rFonts w:hint="eastAsia" w:ascii="方正宋三_GBK" w:eastAsia="方正宋三_GBK"/>
          <w:color w:val="auto"/>
          <w:sz w:val="21"/>
          <w:szCs w:val="21"/>
        </w:rPr>
        <w:t>规</w:t>
      </w:r>
      <w:r>
        <w:rPr>
          <w:rFonts w:hint="eastAsia" w:ascii="方正宋三_GBK" w:hAnsi="仿宋" w:eastAsia="方正宋三_GBK"/>
          <w:color w:val="auto"/>
          <w:sz w:val="21"/>
          <w:szCs w:val="21"/>
        </w:rPr>
        <w:t>定的必选指标。</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方正宋三_GBK" w:hAnsi="仿宋" w:eastAsia="方正宋三_GBK"/>
          <w:color w:val="auto"/>
          <w:sz w:val="21"/>
        </w:rPr>
        <w:sectPr>
          <w:footerReference r:id="rId5" w:type="default"/>
          <w:headerReference r:id="rId4" w:type="even"/>
          <w:footerReference r:id="rId6" w:type="even"/>
          <w:pgSz w:w="16838" w:h="11906" w:orient="landscape"/>
          <w:pgMar w:top="1644" w:right="1985" w:bottom="1474" w:left="1701" w:header="851" w:footer="992" w:gutter="0"/>
          <w:pgNumType w:fmt="decimal"/>
          <w:cols w:space="720" w:num="1"/>
          <w:docGrid w:type="linesAndChars" w:linePitch="597" w:charSpace="-1259"/>
        </w:sectPr>
      </w:pPr>
      <w:r>
        <w:rPr>
          <w:rFonts w:ascii="方正宋三_GBK" w:hAnsi="仿宋" w:eastAsia="方正宋三_GBK"/>
          <w:color w:val="auto"/>
          <w:sz w:val="21"/>
        </w:rPr>
        <w:t xml:space="preserve">      2.</w:t>
      </w:r>
      <w:r>
        <w:rPr>
          <w:rFonts w:hint="eastAsia" w:ascii="方正宋三_GBK" w:hAnsi="仿宋" w:eastAsia="方正宋三_GBK"/>
          <w:color w:val="auto"/>
          <w:sz w:val="21"/>
        </w:rPr>
        <w:t>指标计算过程中，基准年为</w:t>
      </w:r>
      <w:r>
        <w:rPr>
          <w:rFonts w:ascii="方正宋三_GBK" w:hAnsi="仿宋" w:eastAsia="方正宋三_GBK"/>
          <w:color w:val="auto"/>
          <w:sz w:val="21"/>
        </w:rPr>
        <w:t>2020</w:t>
      </w:r>
      <w:r>
        <w:rPr>
          <w:rFonts w:hint="eastAsia" w:ascii="方正宋三_GBK" w:hAnsi="仿宋" w:eastAsia="方正宋三_GBK"/>
          <w:color w:val="auto"/>
          <w:sz w:val="21"/>
        </w:rPr>
        <w:t>年，评价年为计算目标值当年。</w:t>
      </w:r>
    </w:p>
    <w:p>
      <w:pPr>
        <w:keepNext w:val="0"/>
        <w:keepLines w:val="0"/>
        <w:pageBreakBefore w:val="0"/>
        <w:widowControl w:val="0"/>
        <w:kinsoku/>
        <w:wordWrap/>
        <w:overflowPunct w:val="0"/>
        <w:topLinePunct w:val="0"/>
        <w:autoSpaceDE w:val="0"/>
        <w:autoSpaceDN w:val="0"/>
        <w:bidi w:val="0"/>
        <w:adjustRightInd w:val="0"/>
        <w:snapToGrid w:val="0"/>
        <w:textAlignment w:val="auto"/>
        <w:outlineLvl w:val="0"/>
        <w:rPr>
          <w:rFonts w:ascii="黑体" w:hAnsi="黑体" w:eastAsia="黑体" w:cs="宋体"/>
          <w:color w:val="auto"/>
          <w:kern w:val="0"/>
          <w:sz w:val="32"/>
          <w:szCs w:val="32"/>
        </w:rPr>
      </w:pPr>
      <w:r>
        <w:rPr>
          <w:rFonts w:hint="eastAsia" w:ascii="黑体" w:hAnsi="黑体" w:eastAsia="黑体" w:cs="宋体"/>
          <w:color w:val="auto"/>
          <w:kern w:val="0"/>
          <w:sz w:val="32"/>
          <w:szCs w:val="32"/>
        </w:rPr>
        <w:t>附件</w:t>
      </w:r>
      <w:r>
        <w:rPr>
          <w:rFonts w:ascii="黑体" w:hAnsi="黑体" w:eastAsia="黑体" w:cs="宋体"/>
          <w:color w:val="auto"/>
          <w:kern w:val="0"/>
          <w:sz w:val="32"/>
          <w:szCs w:val="32"/>
        </w:rPr>
        <w:t>2</w:t>
      </w:r>
    </w:p>
    <w:p>
      <w:pPr>
        <w:pStyle w:val="6"/>
        <w:keepNext w:val="0"/>
        <w:keepLines w:val="0"/>
        <w:pageBreakBefore w:val="0"/>
        <w:widowControl w:val="0"/>
        <w:kinsoku/>
        <w:wordWrap/>
        <w:topLinePunct w:val="0"/>
        <w:bidi w:val="0"/>
        <w:adjustRightInd w:val="0"/>
        <w:snapToGrid w:val="0"/>
        <w:textAlignment w:val="auto"/>
        <w:rPr>
          <w:color w:val="auto"/>
          <w:sz w:val="32"/>
          <w:szCs w:val="32"/>
        </w:rPr>
      </w:pPr>
    </w:p>
    <w:p>
      <w:pPr>
        <w:keepNext w:val="0"/>
        <w:keepLines w:val="0"/>
        <w:pageBreakBefore w:val="0"/>
        <w:widowControl w:val="0"/>
        <w:kinsoku/>
        <w:wordWrap/>
        <w:topLinePunct w:val="0"/>
        <w:bidi w:val="0"/>
        <w:adjustRightInd w:val="0"/>
        <w:snapToGrid w:val="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eastAsia="zh-CN"/>
        </w:rPr>
        <w:t>莱芜区</w:t>
      </w:r>
      <w:r>
        <w:rPr>
          <w:rFonts w:hint="eastAsia" w:ascii="方正小标宋简体" w:hAnsi="方正小标宋简体" w:eastAsia="方正小标宋简体" w:cs="方正小标宋简体"/>
          <w:color w:val="auto"/>
          <w:kern w:val="0"/>
          <w:sz w:val="44"/>
          <w:szCs w:val="44"/>
        </w:rPr>
        <w:t>“无废城市”建设实施方案（2022—2025年）项目清单</w:t>
      </w:r>
    </w:p>
    <w:tbl>
      <w:tblPr>
        <w:tblStyle w:val="8"/>
        <w:tblW w:w="133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01"/>
        <w:gridCol w:w="1134"/>
        <w:gridCol w:w="997"/>
        <w:gridCol w:w="935"/>
        <w:gridCol w:w="2865"/>
        <w:gridCol w:w="925"/>
        <w:gridCol w:w="1103"/>
        <w:gridCol w:w="853"/>
        <w:gridCol w:w="997"/>
        <w:gridCol w:w="29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tblHeader/>
          <w:jc w:val="center"/>
        </w:trPr>
        <w:tc>
          <w:tcPr>
            <w:tcW w:w="601"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序号</w:t>
            </w:r>
          </w:p>
        </w:tc>
        <w:tc>
          <w:tcPr>
            <w:tcW w:w="1134"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项目名称</w:t>
            </w:r>
          </w:p>
        </w:tc>
        <w:tc>
          <w:tcPr>
            <w:tcW w:w="997"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责任主体</w:t>
            </w:r>
          </w:p>
        </w:tc>
        <w:tc>
          <w:tcPr>
            <w:tcW w:w="935"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实施主体</w:t>
            </w:r>
          </w:p>
        </w:tc>
        <w:tc>
          <w:tcPr>
            <w:tcW w:w="2865"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建设内容</w:t>
            </w:r>
          </w:p>
        </w:tc>
        <w:tc>
          <w:tcPr>
            <w:tcW w:w="925"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建设地点</w:t>
            </w:r>
          </w:p>
        </w:tc>
        <w:tc>
          <w:tcPr>
            <w:tcW w:w="1103"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建设时间</w:t>
            </w:r>
          </w:p>
        </w:tc>
        <w:tc>
          <w:tcPr>
            <w:tcW w:w="853"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总投资（万元）</w:t>
            </w:r>
          </w:p>
        </w:tc>
        <w:tc>
          <w:tcPr>
            <w:tcW w:w="997"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资金筹措方式</w:t>
            </w:r>
          </w:p>
        </w:tc>
        <w:tc>
          <w:tcPr>
            <w:tcW w:w="2915"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经济社会环境效益分析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3325" w:type="dxa"/>
            <w:gridSpan w:val="10"/>
            <w:shd w:val="clear" w:color="auto" w:fill="auto"/>
            <w:noWrap w:val="0"/>
            <w:vAlign w:val="center"/>
          </w:tcPr>
          <w:p>
            <w:pPr>
              <w:widowControl/>
              <w:adjustRightInd w:val="0"/>
              <w:snapToGrid w:val="0"/>
              <w:spacing w:line="300" w:lineRule="exact"/>
              <w:jc w:val="center"/>
              <w:textAlignment w:val="center"/>
              <w:rPr>
                <w:rFonts w:ascii="黑体" w:hAnsi="黑体" w:eastAsia="黑体" w:cs="黑体"/>
                <w:color w:val="auto"/>
                <w:sz w:val="21"/>
              </w:rPr>
            </w:pPr>
            <w:r>
              <w:rPr>
                <w:rFonts w:hint="eastAsia" w:ascii="黑体" w:hAnsi="黑体" w:eastAsia="黑体"/>
                <w:color w:val="auto"/>
                <w:kern w:val="0"/>
                <w:sz w:val="21"/>
              </w:rPr>
              <w:t>建筑垃圾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01" w:type="dxa"/>
            <w:noWrap w:val="0"/>
            <w:vAlign w:val="center"/>
          </w:tcPr>
          <w:p>
            <w:pPr>
              <w:widowControl/>
              <w:adjustRightInd w:val="0"/>
              <w:snapToGrid w:val="0"/>
              <w:jc w:val="center"/>
              <w:textAlignment w:val="center"/>
              <w:rPr>
                <w:rFonts w:hint="eastAsia" w:ascii="方正宋三_GBK" w:eastAsia="方正宋三_GBK" w:cs="黑体"/>
                <w:color w:val="auto"/>
                <w:sz w:val="21"/>
                <w:lang w:eastAsia="zh-CN"/>
              </w:rPr>
            </w:pPr>
            <w:r>
              <w:rPr>
                <w:rFonts w:hint="eastAsia" w:ascii="方正宋三_GBK" w:eastAsia="方正宋三_GBK"/>
                <w:color w:val="auto"/>
                <w:kern w:val="0"/>
                <w:sz w:val="21"/>
                <w:lang w:val="en-US" w:eastAsia="zh-CN"/>
              </w:rPr>
              <w:t>1</w:t>
            </w:r>
          </w:p>
        </w:tc>
        <w:tc>
          <w:tcPr>
            <w:tcW w:w="1134" w:type="dxa"/>
            <w:noWrap w:val="0"/>
            <w:vAlign w:val="center"/>
          </w:tcPr>
          <w:p>
            <w:pPr>
              <w:widowControl/>
              <w:adjustRightInd w:val="0"/>
              <w:snapToGrid w:val="0"/>
              <w:spacing w:line="300" w:lineRule="exact"/>
              <w:jc w:val="left"/>
              <w:textAlignment w:val="center"/>
              <w:rPr>
                <w:rFonts w:ascii="方正宋三_GBK" w:eastAsia="方正宋三_GBK" w:cs="黑体"/>
                <w:color w:val="auto"/>
                <w:sz w:val="21"/>
              </w:rPr>
            </w:pPr>
            <w:r>
              <w:rPr>
                <w:rFonts w:hint="eastAsia" w:ascii="方正宋三_GBK" w:eastAsia="方正宋三_GBK"/>
                <w:color w:val="auto"/>
                <w:kern w:val="0"/>
                <w:sz w:val="21"/>
              </w:rPr>
              <w:t>莱芜区建筑垃圾资源化利用厂</w:t>
            </w:r>
          </w:p>
        </w:tc>
        <w:tc>
          <w:tcPr>
            <w:tcW w:w="997" w:type="dxa"/>
            <w:noWrap w:val="0"/>
            <w:vAlign w:val="center"/>
          </w:tcPr>
          <w:p>
            <w:pPr>
              <w:widowControl/>
              <w:adjustRightInd w:val="0"/>
              <w:snapToGrid w:val="0"/>
              <w:spacing w:line="300" w:lineRule="exact"/>
              <w:jc w:val="center"/>
              <w:textAlignment w:val="center"/>
              <w:rPr>
                <w:rFonts w:ascii="方正宋三_GBK" w:eastAsia="方正宋三_GBK" w:cs="黑体"/>
                <w:color w:val="auto"/>
                <w:sz w:val="21"/>
              </w:rPr>
            </w:pPr>
            <w:r>
              <w:rPr>
                <w:rFonts w:hint="eastAsia" w:ascii="方正宋三_GBK" w:eastAsia="方正宋三_GBK"/>
                <w:color w:val="auto"/>
                <w:sz w:val="21"/>
              </w:rPr>
              <w:t>莱芜区</w:t>
            </w:r>
          </w:p>
        </w:tc>
        <w:tc>
          <w:tcPr>
            <w:tcW w:w="935" w:type="dxa"/>
            <w:noWrap w:val="0"/>
            <w:vAlign w:val="center"/>
          </w:tcPr>
          <w:p>
            <w:pPr>
              <w:widowControl/>
              <w:adjustRightInd w:val="0"/>
              <w:snapToGrid w:val="0"/>
              <w:spacing w:line="300" w:lineRule="exact"/>
              <w:jc w:val="center"/>
              <w:textAlignment w:val="center"/>
              <w:rPr>
                <w:rFonts w:ascii="方正宋三_GBK" w:eastAsia="方正宋三_GBK" w:cs="黑体"/>
                <w:color w:val="auto"/>
                <w:sz w:val="21"/>
              </w:rPr>
            </w:pPr>
            <w:r>
              <w:rPr>
                <w:rFonts w:hint="eastAsia" w:ascii="方正宋三_GBK" w:eastAsia="方正宋三_GBK"/>
                <w:color w:val="auto"/>
                <w:sz w:val="21"/>
              </w:rPr>
              <w:t>区城管局</w:t>
            </w:r>
          </w:p>
        </w:tc>
        <w:tc>
          <w:tcPr>
            <w:tcW w:w="2865" w:type="dxa"/>
            <w:noWrap w:val="0"/>
            <w:vAlign w:val="center"/>
          </w:tcPr>
          <w:p>
            <w:pPr>
              <w:keepNext w:val="0"/>
              <w:keepLines w:val="0"/>
              <w:pageBreakBefore w:val="0"/>
              <w:widowControl/>
              <w:kinsoku/>
              <w:wordWrap/>
              <w:overflowPunct/>
              <w:topLinePunct w:val="0"/>
              <w:autoSpaceDE/>
              <w:autoSpaceDN/>
              <w:bidi w:val="0"/>
              <w:adjustRightInd w:val="0"/>
              <w:snapToGrid w:val="0"/>
              <w:spacing w:line="304" w:lineRule="exact"/>
              <w:textAlignment w:val="top"/>
              <w:rPr>
                <w:rFonts w:ascii="方正宋三_GBK" w:eastAsia="方正宋三_GBK" w:cs="黑体"/>
                <w:color w:val="auto"/>
                <w:sz w:val="21"/>
              </w:rPr>
            </w:pPr>
            <w:r>
              <w:rPr>
                <w:rFonts w:hint="eastAsia" w:ascii="方正宋三_GBK" w:eastAsia="方正宋三_GBK"/>
                <w:color w:val="auto"/>
                <w:kern w:val="0"/>
                <w:sz w:val="21"/>
              </w:rPr>
              <w:t>资源化利用</w:t>
            </w:r>
            <w:r>
              <w:rPr>
                <w:rFonts w:ascii="方正宋三_GBK" w:eastAsia="方正宋三_GBK"/>
                <w:color w:val="auto"/>
                <w:kern w:val="0"/>
                <w:sz w:val="21"/>
              </w:rPr>
              <w:t>50</w:t>
            </w:r>
            <w:r>
              <w:rPr>
                <w:rFonts w:hint="eastAsia" w:ascii="方正宋三_GBK" w:hAnsi="黑体" w:eastAsia="方正宋三_GBK"/>
                <w:color w:val="auto"/>
                <w:kern w:val="0"/>
                <w:sz w:val="21"/>
              </w:rPr>
              <w:t>万吨</w:t>
            </w:r>
            <w:r>
              <w:rPr>
                <w:rFonts w:ascii="方正宋三_GBK" w:eastAsia="方正宋三_GBK"/>
                <w:color w:val="auto"/>
                <w:kern w:val="0"/>
                <w:sz w:val="21"/>
              </w:rPr>
              <w:t>/</w:t>
            </w:r>
            <w:r>
              <w:rPr>
                <w:rFonts w:hint="eastAsia" w:ascii="方正宋三_GBK" w:hAnsi="黑体" w:eastAsia="方正宋三_GBK"/>
                <w:color w:val="auto"/>
                <w:kern w:val="0"/>
                <w:sz w:val="21"/>
              </w:rPr>
              <w:t>年；占地面积：建议不小于</w:t>
            </w:r>
            <w:r>
              <w:rPr>
                <w:rFonts w:ascii="方正宋三_GBK" w:eastAsia="方正宋三_GBK"/>
                <w:color w:val="auto"/>
                <w:kern w:val="0"/>
                <w:sz w:val="21"/>
              </w:rPr>
              <w:t>20000</w:t>
            </w:r>
            <w:r>
              <w:rPr>
                <w:rFonts w:hint="eastAsia" w:ascii="方正宋三_GBK" w:hAnsi="黑体" w:eastAsia="方正宋三_GBK"/>
                <w:color w:val="auto"/>
                <w:kern w:val="0"/>
                <w:sz w:val="21"/>
              </w:rPr>
              <w:t>平方米（约</w:t>
            </w:r>
            <w:r>
              <w:rPr>
                <w:rFonts w:ascii="方正宋三_GBK" w:eastAsia="方正宋三_GBK"/>
                <w:color w:val="auto"/>
                <w:kern w:val="0"/>
                <w:sz w:val="21"/>
              </w:rPr>
              <w:t>30</w:t>
            </w:r>
            <w:r>
              <w:rPr>
                <w:rFonts w:hint="eastAsia" w:ascii="方正宋三_GBK" w:hAnsi="黑体" w:eastAsia="方正宋三_GBK"/>
                <w:color w:val="auto"/>
                <w:kern w:val="0"/>
                <w:sz w:val="21"/>
              </w:rPr>
              <w:t>亩）；处理工艺：资源化利用采用“破碎</w:t>
            </w:r>
            <w:r>
              <w:rPr>
                <w:rFonts w:ascii="方正宋三_GBK" w:eastAsia="方正宋三_GBK"/>
                <w:color w:val="auto"/>
                <w:kern w:val="0"/>
                <w:sz w:val="21"/>
              </w:rPr>
              <w:t>+</w:t>
            </w:r>
            <w:r>
              <w:rPr>
                <w:rFonts w:hint="eastAsia" w:ascii="方正宋三_GBK" w:hAnsi="黑体" w:eastAsia="方正宋三_GBK"/>
                <w:color w:val="auto"/>
                <w:kern w:val="0"/>
                <w:sz w:val="21"/>
              </w:rPr>
              <w:t>分选</w:t>
            </w:r>
            <w:r>
              <w:rPr>
                <w:rFonts w:ascii="方正宋三_GBK" w:eastAsia="方正宋三_GBK"/>
                <w:color w:val="auto"/>
                <w:kern w:val="0"/>
                <w:sz w:val="21"/>
              </w:rPr>
              <w:t>+</w:t>
            </w:r>
            <w:r>
              <w:rPr>
                <w:rFonts w:hint="eastAsia" w:ascii="方正宋三_GBK" w:hAnsi="黑体" w:eastAsia="方正宋三_GBK"/>
                <w:color w:val="auto"/>
                <w:kern w:val="0"/>
                <w:sz w:val="21"/>
              </w:rPr>
              <w:t>制备建筑骨料</w:t>
            </w:r>
            <w:r>
              <w:rPr>
                <w:rFonts w:ascii="方正宋三_GBK" w:eastAsia="方正宋三_GBK"/>
                <w:color w:val="auto"/>
                <w:kern w:val="0"/>
                <w:sz w:val="21"/>
              </w:rPr>
              <w:t>+</w:t>
            </w:r>
            <w:r>
              <w:rPr>
                <w:rFonts w:hint="eastAsia" w:ascii="方正宋三_GBK" w:hAnsi="黑体" w:eastAsia="方正宋三_GBK"/>
                <w:color w:val="auto"/>
                <w:kern w:val="0"/>
                <w:sz w:val="21"/>
              </w:rPr>
              <w:t>制砖</w:t>
            </w:r>
            <w:r>
              <w:rPr>
                <w:rFonts w:ascii="方正宋三_GBK" w:eastAsia="方正宋三_GBK"/>
                <w:color w:val="auto"/>
                <w:kern w:val="0"/>
                <w:sz w:val="21"/>
              </w:rPr>
              <w:t>+</w:t>
            </w:r>
            <w:r>
              <w:rPr>
                <w:rFonts w:hint="eastAsia" w:ascii="方正宋三_GBK" w:hAnsi="黑体" w:eastAsia="方正宋三_GBK"/>
                <w:color w:val="auto"/>
                <w:kern w:val="0"/>
                <w:sz w:val="21"/>
              </w:rPr>
              <w:t>残渣填埋”工艺。</w:t>
            </w:r>
          </w:p>
        </w:tc>
        <w:tc>
          <w:tcPr>
            <w:tcW w:w="925" w:type="dxa"/>
            <w:noWrap w:val="0"/>
            <w:vAlign w:val="center"/>
          </w:tcPr>
          <w:p>
            <w:pPr>
              <w:widowControl/>
              <w:adjustRightInd w:val="0"/>
              <w:snapToGrid w:val="0"/>
              <w:spacing w:line="300" w:lineRule="exact"/>
              <w:jc w:val="center"/>
              <w:textAlignment w:val="center"/>
              <w:rPr>
                <w:rFonts w:ascii="方正宋三_GBK" w:eastAsia="方正宋三_GBK" w:cs="黑体"/>
                <w:color w:val="auto"/>
                <w:sz w:val="21"/>
              </w:rPr>
            </w:pPr>
            <w:r>
              <w:rPr>
                <w:rFonts w:hint="eastAsia" w:ascii="方正宋三_GBK" w:eastAsia="方正宋三_GBK"/>
                <w:color w:val="auto"/>
                <w:kern w:val="0"/>
                <w:sz w:val="21"/>
              </w:rPr>
              <w:t>莱芜区</w:t>
            </w:r>
          </w:p>
        </w:tc>
        <w:tc>
          <w:tcPr>
            <w:tcW w:w="1103" w:type="dxa"/>
            <w:noWrap w:val="0"/>
            <w:vAlign w:val="center"/>
          </w:tcPr>
          <w:p>
            <w:pPr>
              <w:widowControl/>
              <w:adjustRightInd w:val="0"/>
              <w:snapToGrid w:val="0"/>
              <w:spacing w:line="300" w:lineRule="exact"/>
              <w:jc w:val="center"/>
              <w:textAlignment w:val="center"/>
              <w:rPr>
                <w:rFonts w:ascii="方正宋三_GBK" w:eastAsia="方正宋三_GBK" w:cs="黑体"/>
                <w:color w:val="auto"/>
                <w:sz w:val="21"/>
              </w:rPr>
            </w:pPr>
            <w:r>
              <w:rPr>
                <w:rFonts w:ascii="方正宋三_GBK" w:eastAsia="方正宋三_GBK"/>
                <w:color w:val="auto"/>
                <w:kern w:val="0"/>
                <w:sz w:val="21"/>
              </w:rPr>
              <w:t>2023—2025</w:t>
            </w:r>
          </w:p>
        </w:tc>
        <w:tc>
          <w:tcPr>
            <w:tcW w:w="853" w:type="dxa"/>
            <w:noWrap w:val="0"/>
            <w:vAlign w:val="center"/>
          </w:tcPr>
          <w:p>
            <w:pPr>
              <w:widowControl/>
              <w:adjustRightInd w:val="0"/>
              <w:snapToGrid w:val="0"/>
              <w:spacing w:line="300" w:lineRule="exact"/>
              <w:jc w:val="center"/>
              <w:textAlignment w:val="center"/>
              <w:rPr>
                <w:rFonts w:ascii="方正宋三_GBK" w:eastAsia="方正宋三_GBK" w:cs="黑体"/>
                <w:color w:val="auto"/>
                <w:sz w:val="21"/>
              </w:rPr>
            </w:pPr>
            <w:r>
              <w:rPr>
                <w:rFonts w:ascii="方正宋三_GBK" w:eastAsia="方正宋三_GBK"/>
                <w:color w:val="auto"/>
                <w:kern w:val="0"/>
                <w:sz w:val="21"/>
              </w:rPr>
              <w:t>3000</w:t>
            </w:r>
          </w:p>
        </w:tc>
        <w:tc>
          <w:tcPr>
            <w:tcW w:w="997" w:type="dxa"/>
            <w:noWrap w:val="0"/>
            <w:vAlign w:val="center"/>
          </w:tcPr>
          <w:p>
            <w:pPr>
              <w:widowControl/>
              <w:adjustRightInd w:val="0"/>
              <w:snapToGrid w:val="0"/>
              <w:spacing w:line="300" w:lineRule="exact"/>
              <w:jc w:val="center"/>
              <w:textAlignment w:val="center"/>
              <w:rPr>
                <w:rFonts w:ascii="方正宋三_GBK" w:eastAsia="方正宋三_GBK" w:cs="黑体"/>
                <w:color w:val="auto"/>
                <w:sz w:val="21"/>
              </w:rPr>
            </w:pPr>
            <w:r>
              <w:rPr>
                <w:rFonts w:hint="eastAsia" w:ascii="方正宋三_GBK" w:eastAsia="方正宋三_GBK"/>
                <w:color w:val="auto"/>
                <w:kern w:val="0"/>
                <w:sz w:val="21"/>
              </w:rPr>
              <w:t>自筹</w:t>
            </w:r>
          </w:p>
        </w:tc>
        <w:tc>
          <w:tcPr>
            <w:tcW w:w="2915" w:type="dxa"/>
            <w:noWrap w:val="0"/>
            <w:vAlign w:val="center"/>
          </w:tcPr>
          <w:p>
            <w:pPr>
              <w:widowControl/>
              <w:adjustRightInd w:val="0"/>
              <w:snapToGrid w:val="0"/>
              <w:spacing w:line="300" w:lineRule="exact"/>
              <w:textAlignment w:val="center"/>
              <w:rPr>
                <w:rFonts w:ascii="方正宋三_GBK" w:eastAsia="方正宋三_GBK" w:cs="黑体"/>
                <w:color w:val="auto"/>
                <w:sz w:val="21"/>
              </w:rPr>
            </w:pPr>
            <w:r>
              <w:rPr>
                <w:rFonts w:hint="eastAsia" w:ascii="方正宋三_GBK" w:eastAsia="方正宋三_GBK"/>
                <w:color w:val="auto"/>
                <w:kern w:val="0"/>
                <w:sz w:val="21"/>
              </w:rPr>
              <w:t>提高建筑垃圾资源化利用能力。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3325" w:type="dxa"/>
            <w:gridSpan w:val="10"/>
            <w:shd w:val="clear" w:color="auto" w:fill="auto"/>
            <w:noWrap w:val="0"/>
            <w:vAlign w:val="center"/>
          </w:tcPr>
          <w:p>
            <w:pPr>
              <w:widowControl/>
              <w:adjustRightInd w:val="0"/>
              <w:snapToGrid w:val="0"/>
              <w:spacing w:line="300" w:lineRule="exact"/>
              <w:jc w:val="center"/>
              <w:textAlignment w:val="center"/>
              <w:rPr>
                <w:rFonts w:ascii="黑体" w:hAnsi="黑体" w:eastAsia="黑体" w:cs="黑体"/>
                <w:color w:val="auto"/>
                <w:sz w:val="21"/>
              </w:rPr>
            </w:pPr>
            <w:r>
              <w:rPr>
                <w:rFonts w:hint="eastAsia" w:ascii="黑体" w:hAnsi="黑体" w:eastAsia="黑体"/>
                <w:color w:val="auto"/>
                <w:kern w:val="0"/>
                <w:sz w:val="21"/>
              </w:rPr>
              <w:t>工业源固体废物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01" w:type="dxa"/>
            <w:noWrap w:val="0"/>
            <w:vAlign w:val="center"/>
          </w:tcPr>
          <w:p>
            <w:pPr>
              <w:widowControl/>
              <w:adjustRightInd w:val="0"/>
              <w:snapToGrid w:val="0"/>
              <w:jc w:val="center"/>
              <w:textAlignment w:val="center"/>
              <w:rPr>
                <w:rFonts w:hint="eastAsia" w:ascii="方正宋三_GBK" w:eastAsia="方正宋三_GBK" w:cs="黑体"/>
                <w:color w:val="auto"/>
                <w:sz w:val="21"/>
                <w:lang w:eastAsia="zh-CN"/>
              </w:rPr>
            </w:pPr>
            <w:r>
              <w:rPr>
                <w:rFonts w:hint="eastAsia" w:ascii="方正宋三_GBK" w:eastAsia="方正宋三_GBK"/>
                <w:color w:val="auto"/>
                <w:kern w:val="0"/>
                <w:sz w:val="21"/>
                <w:lang w:val="en-US" w:eastAsia="zh-CN"/>
              </w:rPr>
              <w:t>2</w:t>
            </w:r>
          </w:p>
        </w:tc>
        <w:tc>
          <w:tcPr>
            <w:tcW w:w="1134" w:type="dxa"/>
            <w:noWrap w:val="0"/>
            <w:vAlign w:val="center"/>
          </w:tcPr>
          <w:p>
            <w:pPr>
              <w:widowControl/>
              <w:adjustRightInd w:val="0"/>
              <w:snapToGrid w:val="0"/>
              <w:spacing w:line="260" w:lineRule="exact"/>
              <w:jc w:val="left"/>
              <w:textAlignment w:val="center"/>
              <w:rPr>
                <w:rFonts w:ascii="方正宋三_GBK" w:eastAsia="方正宋三_GBK" w:cs="黑体"/>
                <w:color w:val="auto"/>
                <w:sz w:val="21"/>
              </w:rPr>
            </w:pPr>
            <w:r>
              <w:rPr>
                <w:rFonts w:hint="eastAsia" w:ascii="方正宋三_GBK" w:eastAsia="方正宋三_GBK"/>
                <w:color w:val="auto"/>
                <w:kern w:val="0"/>
                <w:sz w:val="21"/>
              </w:rPr>
              <w:t>莱芜矿业温石埠铁矿地质环境治理</w:t>
            </w:r>
          </w:p>
        </w:tc>
        <w:tc>
          <w:tcPr>
            <w:tcW w:w="997" w:type="dxa"/>
            <w:noWrap w:val="0"/>
            <w:vAlign w:val="center"/>
          </w:tcPr>
          <w:p>
            <w:pPr>
              <w:widowControl/>
              <w:adjustRightInd w:val="0"/>
              <w:snapToGrid w:val="0"/>
              <w:spacing w:line="260" w:lineRule="exact"/>
              <w:jc w:val="center"/>
              <w:textAlignment w:val="center"/>
              <w:rPr>
                <w:rFonts w:ascii="方正宋三_GBK" w:eastAsia="方正宋三_GBK" w:cs="黑体"/>
                <w:color w:val="auto"/>
                <w:sz w:val="21"/>
              </w:rPr>
            </w:pPr>
            <w:r>
              <w:rPr>
                <w:rFonts w:hint="eastAsia" w:ascii="方正宋三_GBK" w:eastAsia="方正宋三_GBK"/>
                <w:color w:val="auto"/>
                <w:kern w:val="0"/>
                <w:sz w:val="21"/>
              </w:rPr>
              <w:t>莱芜区</w:t>
            </w:r>
          </w:p>
        </w:tc>
        <w:tc>
          <w:tcPr>
            <w:tcW w:w="935" w:type="dxa"/>
            <w:noWrap w:val="0"/>
            <w:vAlign w:val="center"/>
          </w:tcPr>
          <w:p>
            <w:pPr>
              <w:widowControl/>
              <w:adjustRightInd w:val="0"/>
              <w:snapToGrid w:val="0"/>
              <w:spacing w:line="260" w:lineRule="exact"/>
              <w:jc w:val="center"/>
              <w:textAlignment w:val="center"/>
              <w:rPr>
                <w:rFonts w:ascii="方正宋三_GBK" w:eastAsia="方正宋三_GBK" w:cs="黑体"/>
                <w:color w:val="auto"/>
                <w:sz w:val="21"/>
              </w:rPr>
            </w:pPr>
            <w:r>
              <w:rPr>
                <w:rFonts w:hint="eastAsia" w:ascii="方正宋三_GBK" w:eastAsia="方正宋三_GBK"/>
                <w:color w:val="auto"/>
                <w:kern w:val="0"/>
                <w:sz w:val="21"/>
              </w:rPr>
              <w:t>莱芜钢铁集团莱芜矿业有限公司选矿分公司</w:t>
            </w:r>
          </w:p>
        </w:tc>
        <w:tc>
          <w:tcPr>
            <w:tcW w:w="286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ascii="方正宋三_GBK" w:eastAsia="方正宋三_GBK" w:cs="黑体"/>
                <w:b/>
                <w:color w:val="auto"/>
                <w:sz w:val="21"/>
              </w:rPr>
            </w:pPr>
            <w:r>
              <w:rPr>
                <w:rFonts w:hint="eastAsia" w:ascii="方正宋三_GBK" w:eastAsia="方正宋三_GBK"/>
                <w:color w:val="auto"/>
                <w:kern w:val="0"/>
                <w:sz w:val="21"/>
              </w:rPr>
              <w:t>露天采坑位于治理区中部，面积约</w:t>
            </w:r>
            <w:r>
              <w:rPr>
                <w:rFonts w:ascii="方正宋三_GBK" w:eastAsia="方正宋三_GBK"/>
                <w:color w:val="auto"/>
                <w:kern w:val="0"/>
                <w:sz w:val="21"/>
              </w:rPr>
              <w:t>86936.55m</w:t>
            </w:r>
            <w:r>
              <w:rPr>
                <w:rStyle w:val="14"/>
                <w:rFonts w:ascii="方正宋三_GBK" w:eastAsia="方正宋三_GBK" w:cs="黑体"/>
                <w:color w:val="auto"/>
                <w:sz w:val="21"/>
                <w:vertAlign w:val="superscript"/>
              </w:rPr>
              <w:t>2</w:t>
            </w:r>
            <w:r>
              <w:rPr>
                <w:rStyle w:val="15"/>
                <w:rFonts w:hint="eastAsia" w:ascii="方正宋三_GBK" w:eastAsia="方正宋三_GBK" w:cs="黑体"/>
                <w:bCs/>
                <w:color w:val="auto"/>
                <w:sz w:val="21"/>
              </w:rPr>
              <w:t>，</w:t>
            </w:r>
            <w:r>
              <w:rPr>
                <w:rStyle w:val="15"/>
                <w:rFonts w:hint="eastAsia" w:ascii="方正宋三_GBK" w:eastAsia="方正宋三_GBK" w:cs="黑体"/>
                <w:b w:val="0"/>
                <w:bCs/>
                <w:color w:val="auto"/>
                <w:sz w:val="21"/>
              </w:rPr>
              <w:t>主要治理工程措施为设置截水沟、渗滤液收集系统、回填、覆土、平整、绿化和复垦；排土场位于矿坑的东部和南部边沿，矿山废石、渣土等堆积损毁面积</w:t>
            </w:r>
            <w:r>
              <w:rPr>
                <w:rStyle w:val="15"/>
                <w:rFonts w:ascii="方正宋三_GBK" w:eastAsia="方正宋三_GBK"/>
                <w:b w:val="0"/>
                <w:bCs/>
                <w:color w:val="auto"/>
                <w:sz w:val="21"/>
              </w:rPr>
              <w:t>97308.45m</w:t>
            </w:r>
            <w:r>
              <w:rPr>
                <w:rStyle w:val="14"/>
                <w:rFonts w:ascii="方正宋三_GBK" w:eastAsia="方正宋三_GBK" w:cs="黑体"/>
                <w:color w:val="auto"/>
                <w:sz w:val="21"/>
                <w:vertAlign w:val="superscript"/>
              </w:rPr>
              <w:t>2</w:t>
            </w:r>
            <w:r>
              <w:rPr>
                <w:rStyle w:val="15"/>
                <w:rFonts w:hint="eastAsia" w:ascii="方正宋三_GBK" w:eastAsia="方正宋三_GBK" w:cs="黑体"/>
                <w:b w:val="0"/>
                <w:bCs/>
                <w:color w:val="auto"/>
                <w:sz w:val="21"/>
              </w:rPr>
              <w:t>，主要治理工程措施为削坡、平整、绿化。项目针对温石埠铁矿露天开采区域及排土场进行治理，治理区总平面面积</w:t>
            </w:r>
            <w:r>
              <w:rPr>
                <w:rStyle w:val="15"/>
                <w:rFonts w:ascii="方正宋三_GBK" w:eastAsia="方正宋三_GBK"/>
                <w:b w:val="0"/>
                <w:bCs/>
                <w:color w:val="auto"/>
                <w:sz w:val="21"/>
              </w:rPr>
              <w:t>184245m</w:t>
            </w:r>
            <w:r>
              <w:rPr>
                <w:rStyle w:val="14"/>
                <w:rFonts w:ascii="方正宋三_GBK" w:eastAsia="方正宋三_GBK" w:cs="黑体"/>
                <w:color w:val="auto"/>
                <w:sz w:val="21"/>
                <w:vertAlign w:val="superscript"/>
              </w:rPr>
              <w:t>2</w:t>
            </w:r>
            <w:r>
              <w:rPr>
                <w:rStyle w:val="15"/>
                <w:rFonts w:hint="eastAsia" w:ascii="方正宋三_GBK" w:eastAsia="方正宋三_GBK" w:cs="黑体"/>
                <w:b w:val="0"/>
                <w:bCs/>
                <w:color w:val="auto"/>
                <w:sz w:val="21"/>
              </w:rPr>
              <w:t>，采取的主要工程措施包括采坑回填、削坡、场地平整、种植土回填、植被绿化等。治理工程总体工作时间为</w:t>
            </w:r>
            <w:r>
              <w:rPr>
                <w:rStyle w:val="15"/>
                <w:rFonts w:ascii="方正宋三_GBK" w:eastAsia="方正宋三_GBK"/>
                <w:b w:val="0"/>
                <w:bCs/>
                <w:color w:val="auto"/>
                <w:sz w:val="21"/>
              </w:rPr>
              <w:t>2023—2040</w:t>
            </w:r>
            <w:r>
              <w:rPr>
                <w:rStyle w:val="15"/>
                <w:rFonts w:hint="eastAsia" w:ascii="方正宋三_GBK" w:hAnsi="黑体" w:eastAsia="方正宋三_GBK" w:cs="黑体"/>
                <w:b w:val="0"/>
                <w:bCs/>
                <w:color w:val="auto"/>
                <w:sz w:val="21"/>
              </w:rPr>
              <w:t>年</w:t>
            </w:r>
            <w:r>
              <w:rPr>
                <w:rStyle w:val="15"/>
                <w:rFonts w:ascii="方正宋三_GBK" w:eastAsia="方正宋三_GBK"/>
                <w:b w:val="0"/>
                <w:bCs/>
                <w:color w:val="auto"/>
                <w:sz w:val="21"/>
              </w:rPr>
              <w:t>18</w:t>
            </w:r>
            <w:r>
              <w:rPr>
                <w:rStyle w:val="15"/>
                <w:rFonts w:hint="eastAsia" w:ascii="方正宋三_GBK" w:hAnsi="黑体" w:eastAsia="方正宋三_GBK" w:cs="黑体"/>
                <w:b w:val="0"/>
                <w:bCs/>
                <w:color w:val="auto"/>
                <w:sz w:val="21"/>
              </w:rPr>
              <w:t>年，施工期</w:t>
            </w:r>
            <w:r>
              <w:rPr>
                <w:rStyle w:val="15"/>
                <w:rFonts w:ascii="方正宋三_GBK" w:eastAsia="方正宋三_GBK"/>
                <w:b w:val="0"/>
                <w:bCs/>
                <w:color w:val="auto"/>
                <w:sz w:val="21"/>
              </w:rPr>
              <w:t>0.5</w:t>
            </w:r>
            <w:r>
              <w:rPr>
                <w:rStyle w:val="15"/>
                <w:rFonts w:hint="eastAsia" w:ascii="方正宋三_GBK" w:hAnsi="黑体" w:eastAsia="方正宋三_GBK" w:cs="黑体"/>
                <w:b w:val="0"/>
                <w:bCs/>
                <w:color w:val="auto"/>
                <w:sz w:val="21"/>
              </w:rPr>
              <w:t>年，回填期</w:t>
            </w:r>
            <w:r>
              <w:rPr>
                <w:rStyle w:val="15"/>
                <w:rFonts w:ascii="方正宋三_GBK" w:eastAsia="方正宋三_GBK"/>
                <w:b w:val="0"/>
                <w:bCs/>
                <w:color w:val="auto"/>
                <w:sz w:val="21"/>
              </w:rPr>
              <w:t>14.5</w:t>
            </w:r>
            <w:r>
              <w:rPr>
                <w:rStyle w:val="15"/>
                <w:rFonts w:hint="eastAsia" w:ascii="方正宋三_GBK" w:hAnsi="黑体" w:eastAsia="方正宋三_GBK" w:cs="黑体"/>
                <w:b w:val="0"/>
                <w:bCs/>
                <w:color w:val="auto"/>
                <w:sz w:val="21"/>
              </w:rPr>
              <w:t>年，封场养护期</w:t>
            </w:r>
            <w:r>
              <w:rPr>
                <w:rStyle w:val="15"/>
                <w:rFonts w:ascii="方正宋三_GBK" w:eastAsia="方正宋三_GBK"/>
                <w:b w:val="0"/>
                <w:bCs/>
                <w:color w:val="auto"/>
                <w:sz w:val="21"/>
              </w:rPr>
              <w:t>3</w:t>
            </w:r>
            <w:r>
              <w:rPr>
                <w:rStyle w:val="15"/>
                <w:rFonts w:hint="eastAsia" w:ascii="方正宋三_GBK" w:hAnsi="黑体" w:eastAsia="方正宋三_GBK" w:cs="黑体"/>
                <w:b w:val="0"/>
                <w:bCs/>
                <w:color w:val="auto"/>
                <w:sz w:val="21"/>
              </w:rPr>
              <w:t>年。</w:t>
            </w:r>
            <w:r>
              <w:rPr>
                <w:rStyle w:val="15"/>
                <w:rFonts w:ascii="方正宋三_GBK" w:eastAsia="方正宋三_GBK"/>
                <w:b w:val="0"/>
                <w:bCs/>
                <w:color w:val="auto"/>
                <w:sz w:val="21"/>
              </w:rPr>
              <w:t>2023</w:t>
            </w:r>
            <w:r>
              <w:rPr>
                <w:rStyle w:val="15"/>
                <w:rFonts w:hint="eastAsia" w:ascii="方正宋三_GBK" w:hAnsi="黑体" w:eastAsia="方正宋三_GBK" w:cs="黑体"/>
                <w:b w:val="0"/>
                <w:bCs/>
                <w:color w:val="auto"/>
                <w:sz w:val="21"/>
              </w:rPr>
              <w:t>年初开始施工期</w:t>
            </w:r>
            <w:r>
              <w:rPr>
                <w:rStyle w:val="15"/>
                <w:rFonts w:ascii="方正宋三_GBK" w:eastAsia="方正宋三_GBK"/>
                <w:b w:val="0"/>
                <w:bCs/>
                <w:color w:val="auto"/>
                <w:sz w:val="21"/>
              </w:rPr>
              <w:t>0.5</w:t>
            </w:r>
            <w:r>
              <w:rPr>
                <w:rStyle w:val="15"/>
                <w:rFonts w:hint="eastAsia" w:ascii="方正宋三_GBK" w:hAnsi="黑体" w:eastAsia="方正宋三_GBK" w:cs="黑体"/>
                <w:b w:val="0"/>
                <w:bCs/>
                <w:color w:val="auto"/>
                <w:sz w:val="21"/>
              </w:rPr>
              <w:t>年，</w:t>
            </w:r>
            <w:r>
              <w:rPr>
                <w:rStyle w:val="15"/>
                <w:rFonts w:ascii="方正宋三_GBK" w:eastAsia="方正宋三_GBK"/>
                <w:b w:val="0"/>
                <w:bCs/>
                <w:color w:val="auto"/>
                <w:sz w:val="21"/>
              </w:rPr>
              <w:t>2024</w:t>
            </w:r>
            <w:r>
              <w:rPr>
                <w:rStyle w:val="15"/>
                <w:rFonts w:hint="eastAsia" w:ascii="方正宋三_GBK" w:hAnsi="黑体" w:eastAsia="方正宋三_GBK" w:cs="黑体"/>
                <w:b w:val="0"/>
                <w:bCs/>
                <w:color w:val="auto"/>
                <w:sz w:val="21"/>
              </w:rPr>
              <w:t>年起开始回填。</w:t>
            </w:r>
          </w:p>
        </w:tc>
        <w:tc>
          <w:tcPr>
            <w:tcW w:w="925" w:type="dxa"/>
            <w:noWrap w:val="0"/>
            <w:vAlign w:val="center"/>
          </w:tcPr>
          <w:p>
            <w:pPr>
              <w:widowControl/>
              <w:adjustRightInd w:val="0"/>
              <w:snapToGrid w:val="0"/>
              <w:spacing w:line="260" w:lineRule="exact"/>
              <w:jc w:val="center"/>
              <w:textAlignment w:val="center"/>
              <w:rPr>
                <w:rFonts w:ascii="方正宋三_GBK" w:eastAsia="方正宋三_GBK" w:cs="黑体"/>
                <w:color w:val="auto"/>
                <w:sz w:val="21"/>
              </w:rPr>
            </w:pPr>
            <w:r>
              <w:rPr>
                <w:rFonts w:hint="eastAsia" w:ascii="方正宋三_GBK" w:eastAsia="方正宋三_GBK"/>
                <w:color w:val="auto"/>
                <w:kern w:val="0"/>
                <w:sz w:val="21"/>
              </w:rPr>
              <w:t>莱芜区</w:t>
            </w:r>
          </w:p>
        </w:tc>
        <w:tc>
          <w:tcPr>
            <w:tcW w:w="1103" w:type="dxa"/>
            <w:noWrap w:val="0"/>
            <w:vAlign w:val="center"/>
          </w:tcPr>
          <w:p>
            <w:pPr>
              <w:widowControl/>
              <w:adjustRightInd w:val="0"/>
              <w:snapToGrid w:val="0"/>
              <w:spacing w:line="260" w:lineRule="exact"/>
              <w:jc w:val="center"/>
              <w:textAlignment w:val="center"/>
              <w:rPr>
                <w:rFonts w:ascii="方正宋三_GBK" w:eastAsia="方正宋三_GBK" w:cs="黑体"/>
                <w:color w:val="auto"/>
                <w:sz w:val="21"/>
              </w:rPr>
            </w:pPr>
            <w:r>
              <w:rPr>
                <w:rFonts w:ascii="方正宋三_GBK" w:eastAsia="方正宋三_GBK"/>
                <w:color w:val="auto"/>
                <w:kern w:val="0"/>
                <w:sz w:val="21"/>
              </w:rPr>
              <w:t>2022—2025</w:t>
            </w:r>
          </w:p>
        </w:tc>
        <w:tc>
          <w:tcPr>
            <w:tcW w:w="853" w:type="dxa"/>
            <w:noWrap w:val="0"/>
            <w:vAlign w:val="center"/>
          </w:tcPr>
          <w:p>
            <w:pPr>
              <w:widowControl/>
              <w:adjustRightInd w:val="0"/>
              <w:snapToGrid w:val="0"/>
              <w:spacing w:line="260" w:lineRule="exact"/>
              <w:jc w:val="center"/>
              <w:textAlignment w:val="center"/>
              <w:rPr>
                <w:rFonts w:ascii="方正宋三_GBK" w:eastAsia="方正宋三_GBK" w:cs="黑体"/>
                <w:color w:val="auto"/>
                <w:sz w:val="21"/>
              </w:rPr>
            </w:pPr>
            <w:r>
              <w:rPr>
                <w:rFonts w:ascii="方正宋三_GBK" w:eastAsia="方正宋三_GBK"/>
                <w:color w:val="auto"/>
                <w:kern w:val="0"/>
                <w:sz w:val="21"/>
              </w:rPr>
              <w:t>4571</w:t>
            </w:r>
          </w:p>
        </w:tc>
        <w:tc>
          <w:tcPr>
            <w:tcW w:w="997" w:type="dxa"/>
            <w:noWrap w:val="0"/>
            <w:vAlign w:val="center"/>
          </w:tcPr>
          <w:p>
            <w:pPr>
              <w:widowControl/>
              <w:adjustRightInd w:val="0"/>
              <w:snapToGrid w:val="0"/>
              <w:spacing w:line="260" w:lineRule="exact"/>
              <w:jc w:val="center"/>
              <w:textAlignment w:val="center"/>
              <w:rPr>
                <w:rFonts w:ascii="方正宋三_GBK" w:eastAsia="方正宋三_GBK" w:cs="黑体"/>
                <w:color w:val="auto"/>
                <w:sz w:val="21"/>
              </w:rPr>
            </w:pPr>
            <w:r>
              <w:rPr>
                <w:rFonts w:hint="eastAsia" w:ascii="方正宋三_GBK" w:eastAsia="方正宋三_GBK"/>
                <w:color w:val="auto"/>
                <w:kern w:val="0"/>
                <w:sz w:val="21"/>
              </w:rPr>
              <w:t>自筹</w:t>
            </w:r>
          </w:p>
        </w:tc>
        <w:tc>
          <w:tcPr>
            <w:tcW w:w="2915" w:type="dxa"/>
            <w:noWrap w:val="0"/>
            <w:vAlign w:val="center"/>
          </w:tcPr>
          <w:p>
            <w:pPr>
              <w:widowControl/>
              <w:adjustRightInd w:val="0"/>
              <w:snapToGrid w:val="0"/>
              <w:spacing w:line="260" w:lineRule="exact"/>
              <w:textAlignment w:val="center"/>
              <w:rPr>
                <w:rFonts w:ascii="方正宋三_GBK" w:eastAsia="方正宋三_GBK" w:cs="黑体"/>
                <w:b/>
                <w:color w:val="auto"/>
                <w:sz w:val="21"/>
              </w:rPr>
            </w:pPr>
            <w:r>
              <w:rPr>
                <w:rFonts w:hint="eastAsia" w:ascii="方正宋三_GBK" w:eastAsia="方正宋三_GBK"/>
                <w:color w:val="auto"/>
                <w:kern w:val="0"/>
                <w:sz w:val="21"/>
              </w:rPr>
              <w:t>回填至设计标高后，撒播草种</w:t>
            </w:r>
            <w:r>
              <w:rPr>
                <w:rFonts w:ascii="方正宋三_GBK" w:eastAsia="方正宋三_GBK"/>
                <w:color w:val="auto"/>
                <w:kern w:val="0"/>
                <w:sz w:val="21"/>
              </w:rPr>
              <w:t>86936m</w:t>
            </w:r>
            <w:r>
              <w:rPr>
                <w:rStyle w:val="14"/>
                <w:rFonts w:ascii="方正宋三_GBK" w:eastAsia="方正宋三_GBK" w:cs="黑体"/>
                <w:color w:val="auto"/>
                <w:sz w:val="21"/>
                <w:vertAlign w:val="superscript"/>
              </w:rPr>
              <w:t>2</w:t>
            </w:r>
            <w:r>
              <w:rPr>
                <w:rStyle w:val="15"/>
                <w:rFonts w:hint="eastAsia" w:ascii="方正宋三_GBK" w:eastAsia="方正宋三_GBK" w:cs="黑体"/>
                <w:bCs/>
                <w:color w:val="auto"/>
                <w:sz w:val="21"/>
              </w:rPr>
              <w:t>；</w:t>
            </w:r>
            <w:r>
              <w:rPr>
                <w:rStyle w:val="15"/>
                <w:rFonts w:hint="eastAsia" w:ascii="方正宋三_GBK" w:eastAsia="方正宋三_GBK" w:cs="黑体"/>
                <w:b w:val="0"/>
                <w:bCs/>
                <w:color w:val="auto"/>
                <w:sz w:val="21"/>
              </w:rPr>
              <w:t>排土场削坡平整后将撒播草种</w:t>
            </w:r>
            <w:r>
              <w:rPr>
                <w:rStyle w:val="15"/>
                <w:rFonts w:ascii="方正宋三_GBK" w:eastAsia="方正宋三_GBK"/>
                <w:b w:val="0"/>
                <w:bCs/>
                <w:color w:val="auto"/>
                <w:sz w:val="21"/>
              </w:rPr>
              <w:t>54204m</w:t>
            </w:r>
            <w:r>
              <w:rPr>
                <w:rStyle w:val="14"/>
                <w:rFonts w:ascii="方正宋三_GBK" w:eastAsia="方正宋三_GBK" w:cs="黑体"/>
                <w:color w:val="auto"/>
                <w:sz w:val="21"/>
                <w:vertAlign w:val="superscript"/>
              </w:rPr>
              <w:t>2</w:t>
            </w:r>
            <w:r>
              <w:rPr>
                <w:rStyle w:val="15"/>
                <w:rFonts w:hint="eastAsia" w:ascii="方正宋三_GBK" w:eastAsia="方正宋三_GBK" w:cs="黑体"/>
                <w:b w:val="0"/>
                <w:bCs/>
                <w:color w:val="auto"/>
                <w:sz w:val="21"/>
              </w:rPr>
              <w:t>，栽植侧柏</w:t>
            </w:r>
            <w:r>
              <w:rPr>
                <w:rStyle w:val="15"/>
                <w:rFonts w:ascii="方正宋三_GBK" w:eastAsia="方正宋三_GBK"/>
                <w:b w:val="0"/>
                <w:bCs/>
                <w:color w:val="auto"/>
                <w:sz w:val="21"/>
              </w:rPr>
              <w:t>13551</w:t>
            </w:r>
            <w:r>
              <w:rPr>
                <w:rStyle w:val="15"/>
                <w:rFonts w:hint="eastAsia" w:ascii="方正宋三_GBK" w:hAnsi="黑体" w:eastAsia="方正宋三_GBK" w:cs="黑体"/>
                <w:b w:val="0"/>
                <w:bCs/>
                <w:color w:val="auto"/>
                <w:sz w:val="21"/>
              </w:rPr>
              <w:t>株，栽植爬山虎</w:t>
            </w:r>
            <w:r>
              <w:rPr>
                <w:rStyle w:val="15"/>
                <w:rFonts w:ascii="方正宋三_GBK" w:eastAsia="方正宋三_GBK"/>
                <w:b w:val="0"/>
                <w:bCs/>
                <w:color w:val="auto"/>
                <w:sz w:val="21"/>
              </w:rPr>
              <w:t>554</w:t>
            </w:r>
            <w:r>
              <w:rPr>
                <w:rStyle w:val="15"/>
                <w:rFonts w:hint="eastAsia" w:ascii="方正宋三_GBK" w:hAnsi="黑体" w:eastAsia="方正宋三_GBK" w:cs="黑体"/>
                <w:b w:val="0"/>
                <w:bCs/>
                <w:color w:val="auto"/>
                <w:sz w:val="21"/>
              </w:rPr>
              <w:t>株；修建截水沟</w:t>
            </w:r>
            <w:r>
              <w:rPr>
                <w:rStyle w:val="15"/>
                <w:rFonts w:ascii="方正宋三_GBK" w:eastAsia="方正宋三_GBK"/>
                <w:b w:val="0"/>
                <w:bCs/>
                <w:color w:val="auto"/>
                <w:sz w:val="21"/>
              </w:rPr>
              <w:t>1235m</w:t>
            </w:r>
            <w:r>
              <w:rPr>
                <w:rStyle w:val="15"/>
                <w:rFonts w:hint="eastAsia" w:ascii="方正宋三_GBK" w:hAnsi="黑体" w:eastAsia="方正宋三_GBK" w:cs="黑体"/>
                <w:b w:val="0"/>
                <w:bCs/>
                <w:color w:val="auto"/>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01" w:type="dxa"/>
            <w:noWrap w:val="0"/>
            <w:vAlign w:val="center"/>
          </w:tcPr>
          <w:p>
            <w:pPr>
              <w:widowControl/>
              <w:adjustRightInd w:val="0"/>
              <w:snapToGrid w:val="0"/>
              <w:jc w:val="center"/>
              <w:textAlignment w:val="center"/>
              <w:rPr>
                <w:rFonts w:hint="eastAsia" w:ascii="方正宋三_GBK" w:eastAsia="方正宋三_GBK" w:cs="黑体"/>
                <w:color w:val="auto"/>
                <w:sz w:val="21"/>
                <w:lang w:eastAsia="zh-CN"/>
              </w:rPr>
            </w:pPr>
            <w:r>
              <w:rPr>
                <w:rFonts w:hint="eastAsia" w:ascii="方正宋三_GBK" w:eastAsia="方正宋三_GBK"/>
                <w:color w:val="auto"/>
                <w:kern w:val="0"/>
                <w:sz w:val="21"/>
                <w:lang w:val="en-US" w:eastAsia="zh-CN"/>
              </w:rPr>
              <w:t>3</w:t>
            </w:r>
          </w:p>
        </w:tc>
        <w:tc>
          <w:tcPr>
            <w:tcW w:w="1134" w:type="dxa"/>
            <w:noWrap w:val="0"/>
            <w:vAlign w:val="center"/>
          </w:tcPr>
          <w:p>
            <w:pPr>
              <w:widowControl/>
              <w:adjustRightInd w:val="0"/>
              <w:snapToGrid w:val="0"/>
              <w:jc w:val="left"/>
              <w:textAlignment w:val="center"/>
              <w:rPr>
                <w:rFonts w:ascii="方正宋三_GBK" w:eastAsia="方正宋三_GBK" w:cs="黑体"/>
                <w:color w:val="auto"/>
                <w:sz w:val="21"/>
              </w:rPr>
            </w:pPr>
            <w:r>
              <w:rPr>
                <w:rFonts w:hint="eastAsia" w:ascii="方正宋三_GBK" w:eastAsia="方正宋三_GBK"/>
                <w:color w:val="auto"/>
                <w:kern w:val="0"/>
                <w:sz w:val="21"/>
              </w:rPr>
              <w:t>废钢铁加工利用项目</w:t>
            </w:r>
          </w:p>
        </w:tc>
        <w:tc>
          <w:tcPr>
            <w:tcW w:w="997" w:type="dxa"/>
            <w:noWrap w:val="0"/>
            <w:vAlign w:val="center"/>
          </w:tcPr>
          <w:p>
            <w:pPr>
              <w:widowControl/>
              <w:adjustRightInd w:val="0"/>
              <w:snapToGrid w:val="0"/>
              <w:jc w:val="center"/>
              <w:textAlignment w:val="center"/>
              <w:rPr>
                <w:rFonts w:ascii="方正宋三_GBK" w:eastAsia="方正宋三_GBK" w:cs="黑体"/>
                <w:color w:val="auto"/>
                <w:sz w:val="21"/>
              </w:rPr>
            </w:pPr>
            <w:r>
              <w:rPr>
                <w:rFonts w:hint="eastAsia" w:ascii="方正宋三_GBK" w:eastAsia="方正宋三_GBK"/>
                <w:color w:val="auto"/>
                <w:kern w:val="0"/>
                <w:sz w:val="21"/>
              </w:rPr>
              <w:t>莱芜区</w:t>
            </w:r>
          </w:p>
        </w:tc>
        <w:tc>
          <w:tcPr>
            <w:tcW w:w="935" w:type="dxa"/>
            <w:noWrap w:val="0"/>
            <w:vAlign w:val="center"/>
          </w:tcPr>
          <w:p>
            <w:pPr>
              <w:widowControl/>
              <w:adjustRightInd w:val="0"/>
              <w:snapToGrid w:val="0"/>
              <w:jc w:val="center"/>
              <w:textAlignment w:val="center"/>
              <w:rPr>
                <w:rFonts w:ascii="方正宋三_GBK" w:eastAsia="方正宋三_GBK" w:cs="黑体"/>
                <w:color w:val="auto"/>
                <w:sz w:val="21"/>
              </w:rPr>
            </w:pPr>
            <w:r>
              <w:rPr>
                <w:rFonts w:hint="eastAsia" w:ascii="方正宋三_GBK" w:eastAsia="方正宋三_GBK"/>
                <w:color w:val="auto"/>
                <w:kern w:val="0"/>
                <w:sz w:val="21"/>
              </w:rPr>
              <w:t>山东富伦钢铁有限公司</w:t>
            </w:r>
          </w:p>
        </w:tc>
        <w:tc>
          <w:tcPr>
            <w:tcW w:w="2865" w:type="dxa"/>
            <w:noWrap w:val="0"/>
            <w:vAlign w:val="center"/>
          </w:tcPr>
          <w:p>
            <w:pPr>
              <w:widowControl/>
              <w:adjustRightInd w:val="0"/>
              <w:snapToGrid w:val="0"/>
              <w:textAlignment w:val="center"/>
              <w:rPr>
                <w:rFonts w:ascii="方正宋三_GBK" w:eastAsia="方正宋三_GBK" w:cs="黑体"/>
                <w:color w:val="auto"/>
                <w:sz w:val="21"/>
              </w:rPr>
            </w:pPr>
            <w:r>
              <w:rPr>
                <w:rFonts w:hint="eastAsia" w:ascii="方正宋三_GBK" w:eastAsia="方正宋三_GBK"/>
                <w:color w:val="auto"/>
                <w:kern w:val="0"/>
                <w:sz w:val="21"/>
              </w:rPr>
              <w:t>建设废钢回收加工生产线，建设总规模</w:t>
            </w:r>
            <w:r>
              <w:rPr>
                <w:rFonts w:ascii="方正宋三_GBK" w:eastAsia="方正宋三_GBK"/>
                <w:color w:val="auto"/>
                <w:kern w:val="0"/>
                <w:sz w:val="21"/>
              </w:rPr>
              <w:t>100</w:t>
            </w:r>
            <w:r>
              <w:rPr>
                <w:rFonts w:hint="eastAsia" w:ascii="方正宋三_GBK" w:hAnsi="黑体" w:eastAsia="方正宋三_GBK"/>
                <w:color w:val="auto"/>
                <w:kern w:val="0"/>
                <w:sz w:val="21"/>
              </w:rPr>
              <w:t>万吨</w:t>
            </w:r>
            <w:r>
              <w:rPr>
                <w:rFonts w:ascii="方正宋三_GBK" w:hAnsi="黑体" w:eastAsia="方正宋三_GBK"/>
                <w:color w:val="auto"/>
                <w:kern w:val="0"/>
                <w:sz w:val="21"/>
              </w:rPr>
              <w:t>/</w:t>
            </w:r>
            <w:r>
              <w:rPr>
                <w:rFonts w:hint="eastAsia" w:ascii="方正宋三_GBK" w:hAnsi="黑体" w:eastAsia="方正宋三_GBK"/>
                <w:color w:val="auto"/>
                <w:kern w:val="0"/>
                <w:sz w:val="21"/>
              </w:rPr>
              <w:t>年。</w:t>
            </w:r>
          </w:p>
        </w:tc>
        <w:tc>
          <w:tcPr>
            <w:tcW w:w="925" w:type="dxa"/>
            <w:noWrap w:val="0"/>
            <w:vAlign w:val="center"/>
          </w:tcPr>
          <w:p>
            <w:pPr>
              <w:widowControl/>
              <w:adjustRightInd w:val="0"/>
              <w:snapToGrid w:val="0"/>
              <w:jc w:val="center"/>
              <w:textAlignment w:val="center"/>
              <w:rPr>
                <w:rFonts w:ascii="方正宋三_GBK" w:eastAsia="方正宋三_GBK" w:cs="黑体"/>
                <w:color w:val="auto"/>
                <w:sz w:val="21"/>
              </w:rPr>
            </w:pPr>
            <w:r>
              <w:rPr>
                <w:rFonts w:hint="eastAsia" w:ascii="方正宋三_GBK" w:eastAsia="方正宋三_GBK"/>
                <w:color w:val="auto"/>
                <w:kern w:val="0"/>
                <w:sz w:val="21"/>
              </w:rPr>
              <w:t>莱芜区</w:t>
            </w:r>
          </w:p>
        </w:tc>
        <w:tc>
          <w:tcPr>
            <w:tcW w:w="1103" w:type="dxa"/>
            <w:noWrap w:val="0"/>
            <w:vAlign w:val="center"/>
          </w:tcPr>
          <w:p>
            <w:pPr>
              <w:widowControl/>
              <w:adjustRightInd w:val="0"/>
              <w:snapToGrid w:val="0"/>
              <w:jc w:val="center"/>
              <w:textAlignment w:val="center"/>
              <w:rPr>
                <w:rFonts w:ascii="方正宋三_GBK" w:eastAsia="方正宋三_GBK" w:cs="黑体"/>
                <w:color w:val="auto"/>
                <w:sz w:val="21"/>
              </w:rPr>
            </w:pPr>
            <w:r>
              <w:rPr>
                <w:rFonts w:ascii="方正宋三_GBK" w:eastAsia="方正宋三_GBK"/>
                <w:color w:val="auto"/>
                <w:kern w:val="0"/>
                <w:sz w:val="21"/>
              </w:rPr>
              <w:t>2020—2025</w:t>
            </w:r>
          </w:p>
        </w:tc>
        <w:tc>
          <w:tcPr>
            <w:tcW w:w="853" w:type="dxa"/>
            <w:noWrap w:val="0"/>
            <w:vAlign w:val="center"/>
          </w:tcPr>
          <w:p>
            <w:pPr>
              <w:widowControl/>
              <w:adjustRightInd w:val="0"/>
              <w:snapToGrid w:val="0"/>
              <w:jc w:val="center"/>
              <w:textAlignment w:val="center"/>
              <w:rPr>
                <w:rFonts w:ascii="方正宋三_GBK" w:eastAsia="方正宋三_GBK" w:cs="黑体"/>
                <w:color w:val="auto"/>
                <w:sz w:val="21"/>
              </w:rPr>
            </w:pPr>
            <w:r>
              <w:rPr>
                <w:rFonts w:ascii="方正宋三_GBK" w:eastAsia="方正宋三_GBK"/>
                <w:color w:val="auto"/>
                <w:kern w:val="0"/>
                <w:sz w:val="21"/>
              </w:rPr>
              <w:t>12000</w:t>
            </w:r>
          </w:p>
        </w:tc>
        <w:tc>
          <w:tcPr>
            <w:tcW w:w="997" w:type="dxa"/>
            <w:noWrap w:val="0"/>
            <w:vAlign w:val="center"/>
          </w:tcPr>
          <w:p>
            <w:pPr>
              <w:widowControl/>
              <w:adjustRightInd w:val="0"/>
              <w:snapToGrid w:val="0"/>
              <w:jc w:val="center"/>
              <w:textAlignment w:val="center"/>
              <w:rPr>
                <w:rFonts w:ascii="方正宋三_GBK" w:eastAsia="方正宋三_GBK" w:cs="黑体"/>
                <w:color w:val="auto"/>
                <w:sz w:val="21"/>
              </w:rPr>
            </w:pPr>
            <w:r>
              <w:rPr>
                <w:rFonts w:hint="eastAsia" w:ascii="方正宋三_GBK" w:eastAsia="方正宋三_GBK"/>
                <w:color w:val="auto"/>
                <w:kern w:val="0"/>
                <w:sz w:val="21"/>
              </w:rPr>
              <w:t>自筹</w:t>
            </w:r>
          </w:p>
        </w:tc>
        <w:tc>
          <w:tcPr>
            <w:tcW w:w="2915" w:type="dxa"/>
            <w:noWrap w:val="0"/>
            <w:vAlign w:val="center"/>
          </w:tcPr>
          <w:p>
            <w:pPr>
              <w:widowControl/>
              <w:adjustRightInd w:val="0"/>
              <w:snapToGrid w:val="0"/>
              <w:textAlignment w:val="center"/>
              <w:rPr>
                <w:rFonts w:ascii="方正宋三_GBK" w:eastAsia="方正宋三_GBK" w:cs="黑体"/>
                <w:color w:val="auto"/>
                <w:sz w:val="21"/>
              </w:rPr>
            </w:pPr>
            <w:r>
              <w:rPr>
                <w:rFonts w:hint="eastAsia" w:ascii="方正宋三_GBK" w:eastAsia="方正宋三_GBK"/>
                <w:color w:val="auto"/>
                <w:kern w:val="0"/>
                <w:sz w:val="21"/>
              </w:rPr>
              <w:t>提高废钢资源化利用能力，年利用废钢铁</w:t>
            </w:r>
            <w:r>
              <w:rPr>
                <w:rFonts w:ascii="方正宋三_GBK" w:eastAsia="方正宋三_GBK"/>
                <w:color w:val="auto"/>
                <w:kern w:val="0"/>
                <w:sz w:val="21"/>
              </w:rPr>
              <w:t>100</w:t>
            </w:r>
            <w:r>
              <w:rPr>
                <w:rFonts w:hint="eastAsia" w:ascii="方正宋三_GBK" w:hAnsi="黑体" w:eastAsia="方正宋三_GBK"/>
                <w:color w:val="auto"/>
                <w:kern w:val="0"/>
                <w:sz w:val="21"/>
              </w:rPr>
              <w:t>万吨。</w:t>
            </w:r>
          </w:p>
        </w:tc>
      </w:tr>
    </w:tbl>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textAlignment w:val="auto"/>
        <w:rPr>
          <w:rFonts w:ascii="方正宋三_GBK" w:hAnsi="仿宋" w:eastAsia="方正宋三_GBK"/>
          <w:color w:val="auto"/>
          <w:sz w:val="21"/>
          <w:szCs w:val="21"/>
        </w:rPr>
      </w:pPr>
      <w:r>
        <w:rPr>
          <w:rFonts w:hint="eastAsia" w:ascii="方正宋三_GBK" w:hAnsi="仿宋" w:eastAsia="方正宋三_GBK"/>
          <w:color w:val="auto"/>
          <w:sz w:val="21"/>
          <w:szCs w:val="21"/>
        </w:rPr>
        <w:t>备注：</w:t>
      </w:r>
      <w:r>
        <w:rPr>
          <w:rFonts w:hint="eastAsia" w:ascii="方正宋三_GBK" w:hAnsi="仿宋" w:eastAsia="方正宋三_GBK"/>
          <w:color w:val="auto"/>
          <w:sz w:val="21"/>
          <w:szCs w:val="21"/>
          <w:lang w:eastAsia="zh-CN"/>
        </w:rPr>
        <w:t>根据全市“无废城市”建设工作整体推进情况，对重点项目进行调整、完善</w:t>
      </w:r>
      <w:r>
        <w:rPr>
          <w:rFonts w:hint="eastAsia" w:ascii="方正宋三_GBK" w:hAnsi="仿宋" w:eastAsia="方正宋三_GBK"/>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方正宋三_GBK" w:hAnsi="仿宋" w:eastAsia="方正宋三_GBK"/>
          <w:color w:val="auto"/>
          <w:sz w:val="21"/>
        </w:rPr>
        <w:sectPr>
          <w:footerReference r:id="rId8" w:type="default"/>
          <w:headerReference r:id="rId7" w:type="even"/>
          <w:footerReference r:id="rId9" w:type="even"/>
          <w:pgSz w:w="16838" w:h="11906" w:orient="landscape"/>
          <w:pgMar w:top="1644" w:right="1985" w:bottom="1474" w:left="1701" w:header="851" w:footer="992" w:gutter="0"/>
          <w:pgNumType w:fmt="decimal"/>
          <w:cols w:space="720" w:num="1"/>
          <w:docGrid w:type="linesAndChars" w:linePitch="597" w:charSpace="-1259"/>
        </w:sectPr>
      </w:pPr>
      <w:r>
        <w:rPr>
          <w:rFonts w:ascii="方正宋三_GBK" w:hAnsi="仿宋" w:eastAsia="方正宋三_GBK"/>
          <w:color w:val="auto"/>
          <w:sz w:val="21"/>
        </w:rPr>
        <w:t xml:space="preserve">     </w:t>
      </w:r>
    </w:p>
    <w:p>
      <w:pPr>
        <w:keepNext w:val="0"/>
        <w:keepLines w:val="0"/>
        <w:pageBreakBefore w:val="0"/>
        <w:widowControl w:val="0"/>
        <w:kinsoku/>
        <w:wordWrap/>
        <w:overflowPunct w:val="0"/>
        <w:topLinePunct w:val="0"/>
        <w:autoSpaceDE w:val="0"/>
        <w:autoSpaceDN w:val="0"/>
        <w:bidi w:val="0"/>
        <w:adjustRightInd w:val="0"/>
        <w:snapToGrid w:val="0"/>
        <w:jc w:val="left"/>
        <w:textAlignment w:val="auto"/>
        <w:outlineLvl w:val="0"/>
        <w:rPr>
          <w:rFonts w:ascii="黑体" w:hAnsi="黑体" w:eastAsia="黑体" w:cs="宋体"/>
          <w:color w:val="auto"/>
          <w:kern w:val="0"/>
          <w:sz w:val="32"/>
          <w:szCs w:val="32"/>
        </w:rPr>
      </w:pPr>
      <w:r>
        <w:rPr>
          <w:rFonts w:hint="eastAsia" w:ascii="黑体" w:hAnsi="黑体" w:eastAsia="黑体" w:cs="宋体"/>
          <w:color w:val="auto"/>
          <w:kern w:val="0"/>
          <w:sz w:val="32"/>
          <w:szCs w:val="32"/>
        </w:rPr>
        <w:t>附件</w:t>
      </w:r>
      <w:r>
        <w:rPr>
          <w:rFonts w:ascii="黑体" w:hAnsi="黑体" w:eastAsia="黑体" w:cs="宋体"/>
          <w:color w:val="auto"/>
          <w:kern w:val="0"/>
          <w:sz w:val="32"/>
          <w:szCs w:val="32"/>
        </w:rPr>
        <w:t>3</w:t>
      </w:r>
    </w:p>
    <w:p>
      <w:pPr>
        <w:pStyle w:val="6"/>
        <w:keepNext w:val="0"/>
        <w:keepLines w:val="0"/>
        <w:pageBreakBefore w:val="0"/>
        <w:widowControl w:val="0"/>
        <w:kinsoku/>
        <w:wordWrap/>
        <w:topLinePunct w:val="0"/>
        <w:bidi w:val="0"/>
        <w:adjustRightInd w:val="0"/>
        <w:snapToGrid w:val="0"/>
        <w:textAlignment w:val="auto"/>
        <w:rPr>
          <w:rFonts w:hint="eastAsia" w:ascii="黑体" w:hAnsi="黑体" w:eastAsia="黑体" w:cs="黑体"/>
          <w:color w:val="auto"/>
          <w:sz w:val="32"/>
          <w:szCs w:val="32"/>
        </w:rPr>
      </w:pPr>
    </w:p>
    <w:p>
      <w:pPr>
        <w:adjustRightInd w:val="0"/>
        <w:snapToGrid w:val="0"/>
        <w:spacing w:line="560" w:lineRule="exact"/>
        <w:ind w:left="210" w:leftChars="100" w:right="210" w:rightChars="100"/>
        <w:jc w:val="center"/>
        <w:rPr>
          <w:rFonts w:ascii="Times New Roman" w:hAnsi="Times New Roman" w:eastAsia="方正小标宋简体" w:cs="方正小标宋简体"/>
          <w:bCs/>
          <w:color w:val="auto"/>
          <w:kern w:val="0"/>
          <w:sz w:val="44"/>
          <w:szCs w:val="44"/>
        </w:rPr>
      </w:pPr>
      <w:r>
        <w:rPr>
          <w:rFonts w:hint="eastAsia" w:ascii="Times New Roman" w:hAnsi="Times New Roman" w:eastAsia="方正小标宋简体" w:cs="方正小标宋简体"/>
          <w:bCs/>
          <w:color w:val="auto"/>
          <w:kern w:val="0"/>
          <w:sz w:val="44"/>
          <w:szCs w:val="44"/>
          <w:lang w:eastAsia="zh-CN"/>
        </w:rPr>
        <w:t>莱芜区</w:t>
      </w:r>
      <w:r>
        <w:rPr>
          <w:rFonts w:hint="eastAsia" w:ascii="Times New Roman" w:hAnsi="Times New Roman" w:eastAsia="方正小标宋简体" w:cs="方正小标宋简体"/>
          <w:bCs/>
          <w:color w:val="auto"/>
          <w:kern w:val="0"/>
          <w:sz w:val="44"/>
          <w:szCs w:val="44"/>
        </w:rPr>
        <w:t>“无废城</w:t>
      </w:r>
      <w:r>
        <w:rPr>
          <w:rFonts w:hint="eastAsia" w:ascii="Times New Roman" w:hAnsi="Times New Roman" w:eastAsia="方正小标宋简体" w:cs="方正小标宋简体"/>
          <w:bCs/>
          <w:color w:val="auto"/>
          <w:kern w:val="0"/>
          <w:sz w:val="44"/>
          <w:szCs w:val="44"/>
          <w:lang w:eastAsia="zh-CN"/>
        </w:rPr>
        <w:t>市</w:t>
      </w:r>
      <w:r>
        <w:rPr>
          <w:rFonts w:hint="eastAsia" w:ascii="Times New Roman" w:hAnsi="Times New Roman" w:eastAsia="方正小标宋简体" w:cs="方正小标宋简体"/>
          <w:bCs/>
          <w:color w:val="auto"/>
          <w:kern w:val="0"/>
          <w:sz w:val="44"/>
          <w:szCs w:val="44"/>
        </w:rPr>
        <w:t>”建设实施方案（202</w:t>
      </w:r>
      <w:r>
        <w:rPr>
          <w:rFonts w:hint="eastAsia" w:ascii="Times New Roman" w:hAnsi="Times New Roman" w:eastAsia="方正小标宋简体" w:cs="方正小标宋简体"/>
          <w:bCs/>
          <w:color w:val="auto"/>
          <w:kern w:val="0"/>
          <w:sz w:val="44"/>
          <w:szCs w:val="44"/>
          <w:lang w:val="en-US" w:eastAsia="zh-CN"/>
        </w:rPr>
        <w:t>2</w:t>
      </w:r>
      <w:r>
        <w:rPr>
          <w:rFonts w:hint="eastAsia" w:ascii="Times New Roman" w:hAnsi="Times New Roman" w:eastAsia="方正小标宋简体" w:cs="方正小标宋简体"/>
          <w:bCs/>
          <w:color w:val="auto"/>
          <w:kern w:val="0"/>
          <w:sz w:val="44"/>
          <w:szCs w:val="44"/>
        </w:rPr>
        <w:t>-2025年）任务清单</w:t>
      </w:r>
    </w:p>
    <w:p>
      <w:pPr>
        <w:adjustRightInd w:val="0"/>
        <w:snapToGrid w:val="0"/>
        <w:spacing w:beforeLines="50" w:afterLines="50" w:line="560" w:lineRule="exact"/>
        <w:ind w:firstLine="640" w:firstLineChars="200"/>
        <w:rPr>
          <w:rFonts w:ascii="Times New Roman" w:hAnsi="Times New Roman" w:eastAsia="黑体"/>
          <w:color w:val="auto"/>
          <w:sz w:val="32"/>
          <w:szCs w:val="28"/>
        </w:rPr>
      </w:pPr>
      <w:r>
        <w:rPr>
          <w:rFonts w:hint="eastAsia" w:ascii="Times New Roman" w:hAnsi="Times New Roman" w:eastAsia="黑体"/>
          <w:color w:val="auto"/>
          <w:sz w:val="32"/>
          <w:szCs w:val="28"/>
        </w:rPr>
        <w:t>一、制度体系</w:t>
      </w:r>
    </w:p>
    <w:tbl>
      <w:tblPr>
        <w:tblStyle w:val="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89"/>
        <w:gridCol w:w="3599"/>
        <w:gridCol w:w="5653"/>
        <w:gridCol w:w="1914"/>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261"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序号</w:t>
            </w:r>
          </w:p>
        </w:tc>
        <w:tc>
          <w:tcPr>
            <w:tcW w:w="1363"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任务名称</w:t>
            </w:r>
          </w:p>
        </w:tc>
        <w:tc>
          <w:tcPr>
            <w:tcW w:w="2141"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主要内容</w:t>
            </w:r>
          </w:p>
        </w:tc>
        <w:tc>
          <w:tcPr>
            <w:tcW w:w="725"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责任单位</w:t>
            </w:r>
          </w:p>
        </w:tc>
        <w:tc>
          <w:tcPr>
            <w:tcW w:w="508"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建立</w:t>
            </w:r>
            <w:r>
              <w:rPr>
                <w:rFonts w:hint="eastAsia" w:ascii="Times New Roman" w:hAnsi="Times New Roman" w:eastAsia="黑体" w:cs="黑体"/>
                <w:color w:val="auto"/>
                <w:szCs w:val="21"/>
                <w:lang w:eastAsia="zh-CN"/>
              </w:rPr>
              <w:t>莱芜区</w:t>
            </w:r>
            <w:r>
              <w:rPr>
                <w:rFonts w:hint="eastAsia" w:ascii="Times New Roman" w:hAnsi="Times New Roman" w:eastAsia="黑体" w:cs="黑体"/>
                <w:color w:val="auto"/>
                <w:szCs w:val="21"/>
              </w:rPr>
              <w:t>“无废城</w:t>
            </w:r>
            <w:r>
              <w:rPr>
                <w:rFonts w:hint="eastAsia" w:ascii="Times New Roman" w:hAnsi="Times New Roman" w:eastAsia="黑体" w:cs="黑体"/>
                <w:color w:val="auto"/>
                <w:szCs w:val="21"/>
                <w:lang w:eastAsia="zh-CN"/>
              </w:rPr>
              <w:t>市</w:t>
            </w:r>
            <w:r>
              <w:rPr>
                <w:rFonts w:hint="eastAsia" w:ascii="Times New Roman" w:hAnsi="Times New Roman" w:eastAsia="黑体" w:cs="黑体"/>
                <w:color w:val="auto"/>
                <w:szCs w:val="21"/>
              </w:rPr>
              <w:t>”建设工作协调机制</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成立以</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委、</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政府主要负责同志为双组长、分管负责同志为副组长，相关</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直部门主要负责同志为成员的“</w:t>
            </w:r>
            <w:r>
              <w:rPr>
                <w:rFonts w:hint="eastAsia" w:ascii="Times New Roman" w:hAnsi="Times New Roman" w:eastAsia="黑体" w:cs="黑体"/>
                <w:color w:val="auto"/>
                <w:szCs w:val="21"/>
                <w:lang w:eastAsia="zh-CN"/>
              </w:rPr>
              <w:t>无废城市</w:t>
            </w:r>
            <w:r>
              <w:rPr>
                <w:rFonts w:hint="eastAsia" w:ascii="Times New Roman" w:hAnsi="Times New Roman" w:eastAsia="黑体" w:cs="黑体"/>
                <w:color w:val="auto"/>
                <w:szCs w:val="21"/>
              </w:rPr>
              <w:t>”建设工作领导小组，建立“</w:t>
            </w:r>
            <w:r>
              <w:rPr>
                <w:rFonts w:hint="eastAsia" w:ascii="Times New Roman" w:hAnsi="Times New Roman" w:eastAsia="黑体" w:cs="黑体"/>
                <w:color w:val="auto"/>
                <w:szCs w:val="21"/>
                <w:lang w:eastAsia="zh-CN"/>
              </w:rPr>
              <w:t>无废城市</w:t>
            </w:r>
            <w:r>
              <w:rPr>
                <w:rFonts w:hint="eastAsia" w:ascii="Times New Roman" w:hAnsi="Times New Roman" w:eastAsia="黑体" w:cs="黑体"/>
                <w:color w:val="auto"/>
                <w:szCs w:val="21"/>
              </w:rPr>
              <w:t>”建设工作机制，并根据本区域实际，制定并公布本区域“</w:t>
            </w:r>
            <w:r>
              <w:rPr>
                <w:rFonts w:hint="eastAsia" w:ascii="Times New Roman" w:hAnsi="Times New Roman" w:eastAsia="黑体" w:cs="黑体"/>
                <w:color w:val="auto"/>
                <w:szCs w:val="21"/>
                <w:lang w:eastAsia="zh-CN"/>
              </w:rPr>
              <w:t>无废城市</w:t>
            </w:r>
            <w:r>
              <w:rPr>
                <w:rFonts w:hint="eastAsia" w:ascii="Times New Roman" w:hAnsi="Times New Roman" w:eastAsia="黑体" w:cs="黑体"/>
                <w:color w:val="auto"/>
                <w:szCs w:val="21"/>
              </w:rPr>
              <w:t>”建设实施工作方案，明确目标清单、任务清单、项目清单、责任清单和保障措施，确保本方案实施。</w:t>
            </w:r>
          </w:p>
        </w:tc>
        <w:tc>
          <w:tcPr>
            <w:tcW w:w="725" w:type="pct"/>
            <w:noWrap w:val="0"/>
            <w:vAlign w:val="center"/>
          </w:tcPr>
          <w:p>
            <w:pPr>
              <w:adjustRightInd w:val="0"/>
              <w:snapToGrid w:val="0"/>
              <w:jc w:val="left"/>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莱芜区“无废城市”建设工作专班成员单位</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配合落实济南“无废细胞”实施细则</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济南市“无废工厂”实施细则》、《济南市“无废景区”实施细则》、《济南市“无废酒店”实施细则》、《济南市“无废商场（超区）”实施细则》、《济南市“无废饭店”实施细则》、《济南市“无废机关”实施细则》、《济南市“无废学校”实施细则》、《济南市“无废社区”实施细则》等“无废细胞”实施细则。</w:t>
            </w:r>
          </w:p>
        </w:tc>
        <w:tc>
          <w:tcPr>
            <w:tcW w:w="725" w:type="pct"/>
            <w:noWrap w:val="0"/>
            <w:vAlign w:val="center"/>
          </w:tcPr>
          <w:p>
            <w:pPr>
              <w:adjustRightInd w:val="0"/>
              <w:snapToGrid w:val="0"/>
              <w:jc w:val="left"/>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莱芜区“无废城市”建设工作专班成员单位</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3</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制定“无废</w:t>
            </w:r>
            <w:r>
              <w:rPr>
                <w:rFonts w:hint="eastAsia" w:ascii="Times New Roman" w:hAnsi="Times New Roman" w:eastAsia="黑体" w:cs="黑体"/>
                <w:color w:val="auto"/>
                <w:szCs w:val="21"/>
                <w:lang w:eastAsia="zh-CN"/>
              </w:rPr>
              <w:t>城市</w:t>
            </w:r>
            <w:r>
              <w:rPr>
                <w:rFonts w:hint="eastAsia" w:ascii="Times New Roman" w:hAnsi="Times New Roman" w:eastAsia="黑体" w:cs="黑体"/>
                <w:color w:val="auto"/>
                <w:szCs w:val="21"/>
              </w:rPr>
              <w:t>”宣传工作方案</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确定“</w:t>
            </w:r>
            <w:r>
              <w:rPr>
                <w:rFonts w:hint="eastAsia" w:ascii="Times New Roman" w:hAnsi="Times New Roman" w:eastAsia="黑体" w:cs="黑体"/>
                <w:color w:val="auto"/>
                <w:szCs w:val="21"/>
                <w:lang w:eastAsia="zh-CN"/>
              </w:rPr>
              <w:t>无废城市</w:t>
            </w:r>
            <w:r>
              <w:rPr>
                <w:rFonts w:hint="eastAsia" w:ascii="Times New Roman" w:hAnsi="Times New Roman" w:eastAsia="黑体" w:cs="黑体"/>
                <w:color w:val="auto"/>
                <w:szCs w:val="21"/>
              </w:rPr>
              <w:t>”宣传内容、形式、地点和时间等内容。</w:t>
            </w:r>
          </w:p>
        </w:tc>
        <w:tc>
          <w:tcPr>
            <w:tcW w:w="725" w:type="pct"/>
            <w:noWrap w:val="0"/>
            <w:vAlign w:val="center"/>
          </w:tcPr>
          <w:p>
            <w:pPr>
              <w:adjustRightInd w:val="0"/>
              <w:snapToGrid w:val="0"/>
              <w:jc w:val="left"/>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市生态环境局莱芜分局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4</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建立“无废城</w:t>
            </w:r>
            <w:r>
              <w:rPr>
                <w:rFonts w:hint="eastAsia" w:ascii="Times New Roman" w:hAnsi="Times New Roman" w:eastAsia="黑体" w:cs="黑体"/>
                <w:color w:val="auto"/>
                <w:szCs w:val="21"/>
                <w:lang w:eastAsia="zh-CN"/>
              </w:rPr>
              <w:t>市</w:t>
            </w:r>
            <w:r>
              <w:rPr>
                <w:rFonts w:hint="eastAsia" w:ascii="Times New Roman" w:hAnsi="Times New Roman" w:eastAsia="黑体" w:cs="黑体"/>
                <w:color w:val="auto"/>
                <w:szCs w:val="21"/>
              </w:rPr>
              <w:t>”培训制度</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定期开展“</w:t>
            </w:r>
            <w:r>
              <w:rPr>
                <w:rFonts w:hint="eastAsia" w:ascii="Times New Roman" w:hAnsi="Times New Roman" w:eastAsia="黑体" w:cs="黑体"/>
                <w:color w:val="auto"/>
                <w:szCs w:val="21"/>
                <w:lang w:eastAsia="zh-CN"/>
              </w:rPr>
              <w:t>无废城市</w:t>
            </w:r>
            <w:r>
              <w:rPr>
                <w:rFonts w:hint="eastAsia" w:ascii="Times New Roman" w:hAnsi="Times New Roman" w:eastAsia="黑体" w:cs="黑体"/>
                <w:color w:val="auto"/>
                <w:szCs w:val="21"/>
              </w:rPr>
              <w:t>”相关培训学习，提升相关人员专业技术水平，宣传“</w:t>
            </w:r>
            <w:r>
              <w:rPr>
                <w:rFonts w:hint="eastAsia" w:ascii="Times New Roman" w:hAnsi="Times New Roman" w:eastAsia="黑体" w:cs="黑体"/>
                <w:color w:val="auto"/>
                <w:szCs w:val="21"/>
                <w:lang w:eastAsia="zh-CN"/>
              </w:rPr>
              <w:t>无废城市</w:t>
            </w:r>
            <w:r>
              <w:rPr>
                <w:rFonts w:hint="eastAsia" w:ascii="Times New Roman" w:hAnsi="Times New Roman" w:eastAsia="黑体" w:cs="黑体"/>
                <w:color w:val="auto"/>
                <w:szCs w:val="21"/>
              </w:rPr>
              <w:t>”建设相关经验模式，学习相关先进经验做法。</w:t>
            </w:r>
          </w:p>
        </w:tc>
        <w:tc>
          <w:tcPr>
            <w:tcW w:w="725" w:type="pct"/>
            <w:noWrap w:val="0"/>
            <w:vAlign w:val="center"/>
          </w:tcPr>
          <w:p>
            <w:pPr>
              <w:adjustRightInd w:val="0"/>
              <w:snapToGrid w:val="0"/>
              <w:jc w:val="left"/>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莱芜区“无废城市”建设工作专班成员单位</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trPr>
        <w:tc>
          <w:tcPr>
            <w:tcW w:w="261" w:type="pct"/>
            <w:noWrap w:val="0"/>
            <w:vAlign w:val="center"/>
          </w:tcPr>
          <w:p>
            <w:pPr>
              <w:adjustRightInd w:val="0"/>
              <w:snapToGrid w:val="0"/>
              <w:jc w:val="center"/>
              <w:rPr>
                <w:rFonts w:hint="eastAsia"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5</w:t>
            </w:r>
          </w:p>
        </w:tc>
        <w:tc>
          <w:tcPr>
            <w:tcW w:w="1363"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rPr>
              <w:t>配合落实《济南市“十四五”装配式建筑发展规划》和配套工作实施方案</w:t>
            </w:r>
          </w:p>
        </w:tc>
        <w:tc>
          <w:tcPr>
            <w:tcW w:w="2141"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rPr>
              <w:t>配合落实《济南市“十四五”装配式建筑发展规划》和《济南市进一步推进装配式建筑产业发展的实施意见》。</w:t>
            </w:r>
          </w:p>
        </w:tc>
        <w:tc>
          <w:tcPr>
            <w:tcW w:w="725"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lang w:eastAsia="zh-CN"/>
              </w:rPr>
              <w:t>区住房城乡建设局</w:t>
            </w:r>
          </w:p>
        </w:tc>
        <w:tc>
          <w:tcPr>
            <w:tcW w:w="508" w:type="pct"/>
            <w:noWrap w:val="0"/>
            <w:vAlign w:val="center"/>
          </w:tcPr>
          <w:p>
            <w:pPr>
              <w:adjustRightInd w:val="0"/>
              <w:snapToGrid w:val="0"/>
              <w:jc w:val="center"/>
              <w:rPr>
                <w:rFonts w:hint="eastAsia" w:ascii="Times New Roman" w:hAnsi="Times New Roman" w:eastAsia="黑体" w:cs="黑体"/>
                <w:color w:val="auto"/>
                <w:szCs w:val="21"/>
              </w:rPr>
            </w:pPr>
            <w:r>
              <w:rPr>
                <w:rFonts w:ascii="方正宋三_GBK" w:eastAsia="方正宋三_GBK"/>
                <w:color w:val="auto"/>
                <w:sz w:val="21"/>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6</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配合落实《</w:t>
            </w:r>
            <w:r>
              <w:rPr>
                <w:rFonts w:hint="eastAsia" w:ascii="Times New Roman" w:hAnsi="Times New Roman" w:eastAsia="黑体" w:cs="黑体"/>
                <w:color w:val="auto"/>
                <w:szCs w:val="21"/>
                <w:lang w:eastAsia="zh-CN"/>
              </w:rPr>
              <w:t>济南市</w:t>
            </w:r>
            <w:r>
              <w:rPr>
                <w:rFonts w:hint="eastAsia" w:ascii="Times New Roman" w:hAnsi="Times New Roman" w:eastAsia="黑体" w:cs="黑体"/>
                <w:color w:val="auto"/>
                <w:szCs w:val="21"/>
              </w:rPr>
              <w:t>“十四五”畜牧业发展规划》</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配合落实《</w:t>
            </w:r>
            <w:r>
              <w:rPr>
                <w:rFonts w:hint="eastAsia" w:ascii="Times New Roman" w:hAnsi="Times New Roman" w:eastAsia="黑体" w:cs="黑体"/>
                <w:color w:val="auto"/>
                <w:szCs w:val="21"/>
                <w:lang w:eastAsia="zh-CN"/>
              </w:rPr>
              <w:t>济南市</w:t>
            </w:r>
            <w:r>
              <w:rPr>
                <w:rFonts w:hint="eastAsia" w:ascii="Times New Roman" w:hAnsi="Times New Roman" w:eastAsia="黑体" w:cs="黑体"/>
                <w:color w:val="auto"/>
                <w:szCs w:val="21"/>
              </w:rPr>
              <w:t>“十四五”畜牧业发展规划》。</w:t>
            </w:r>
          </w:p>
        </w:tc>
        <w:tc>
          <w:tcPr>
            <w:tcW w:w="725" w:type="pct"/>
            <w:noWrap w:val="0"/>
            <w:vAlign w:val="center"/>
          </w:tcPr>
          <w:p>
            <w:pPr>
              <w:adjustRightInd w:val="0"/>
              <w:snapToGrid w:val="0"/>
              <w:jc w:val="left"/>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区农业农村局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7</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配合落实《</w:t>
            </w:r>
            <w:r>
              <w:rPr>
                <w:rFonts w:hint="eastAsia" w:ascii="Times New Roman" w:hAnsi="Times New Roman" w:eastAsia="黑体" w:cs="黑体"/>
                <w:color w:val="auto"/>
                <w:szCs w:val="21"/>
                <w:lang w:eastAsia="zh-CN"/>
              </w:rPr>
              <w:t>济南市</w:t>
            </w:r>
            <w:r>
              <w:rPr>
                <w:rFonts w:hint="eastAsia" w:ascii="Times New Roman" w:hAnsi="Times New Roman" w:eastAsia="黑体" w:cs="黑体"/>
                <w:color w:val="auto"/>
                <w:szCs w:val="21"/>
              </w:rPr>
              <w:t>绿色农业发展“十四五”规划》</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配合落实《</w:t>
            </w:r>
            <w:r>
              <w:rPr>
                <w:rFonts w:hint="eastAsia" w:ascii="Times New Roman" w:hAnsi="Times New Roman" w:eastAsia="黑体" w:cs="黑体"/>
                <w:color w:val="auto"/>
                <w:szCs w:val="21"/>
                <w:lang w:eastAsia="zh-CN"/>
              </w:rPr>
              <w:t>济南市</w:t>
            </w:r>
            <w:r>
              <w:rPr>
                <w:rFonts w:hint="eastAsia" w:ascii="Times New Roman" w:hAnsi="Times New Roman" w:eastAsia="黑体" w:cs="黑体"/>
                <w:color w:val="auto"/>
                <w:szCs w:val="21"/>
              </w:rPr>
              <w:t>绿色农业发展“十四五”规划》</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农业农村局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8</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制定农膜污染防治、农药包装废弃物回收、秸秆综合利用和畜禽粪污综合利用等工作实施方案</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为推动农业源固体废物资源化利用及回收，制定制定废旧农膜回收、农药包装废弃物回收、秸秆综合利用和畜禽粪污综合利用等相关工作实施方案。</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农业农村局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9</w:t>
            </w:r>
          </w:p>
        </w:tc>
        <w:tc>
          <w:tcPr>
            <w:tcW w:w="3599"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lang w:eastAsia="zh-CN"/>
              </w:rPr>
              <w:t>落实</w:t>
            </w:r>
            <w:r>
              <w:rPr>
                <w:rFonts w:hint="eastAsia" w:ascii="Times New Roman" w:hAnsi="Times New Roman" w:eastAsia="黑体" w:cs="黑体"/>
                <w:color w:val="auto"/>
                <w:szCs w:val="21"/>
              </w:rPr>
              <w:t>《</w:t>
            </w:r>
            <w:r>
              <w:rPr>
                <w:rFonts w:hint="eastAsia" w:ascii="Times New Roman" w:hAnsi="Times New Roman" w:eastAsia="黑体" w:cs="黑体"/>
                <w:color w:val="auto"/>
                <w:szCs w:val="21"/>
                <w:lang w:eastAsia="zh-CN"/>
              </w:rPr>
              <w:t>济南市</w:t>
            </w:r>
            <w:r>
              <w:rPr>
                <w:rFonts w:hint="eastAsia" w:ascii="Times New Roman" w:hAnsi="Times New Roman" w:eastAsia="黑体" w:cs="黑体"/>
                <w:color w:val="auto"/>
                <w:szCs w:val="21"/>
              </w:rPr>
              <w:t>城</w:t>
            </w:r>
            <w:r>
              <w:rPr>
                <w:rFonts w:hint="eastAsia" w:ascii="Times New Roman" w:hAnsi="Times New Roman" w:eastAsia="黑体" w:cs="黑体"/>
                <w:color w:val="auto"/>
                <w:szCs w:val="21"/>
                <w:lang w:eastAsia="zh-CN"/>
              </w:rPr>
              <w:t>市</w:t>
            </w:r>
            <w:r>
              <w:rPr>
                <w:rFonts w:hint="eastAsia" w:ascii="Times New Roman" w:hAnsi="Times New Roman" w:eastAsia="黑体" w:cs="黑体"/>
                <w:color w:val="auto"/>
                <w:szCs w:val="21"/>
              </w:rPr>
              <w:t>建筑垃圾处理管理条例》</w:t>
            </w:r>
          </w:p>
        </w:tc>
        <w:tc>
          <w:tcPr>
            <w:tcW w:w="5653"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lang w:eastAsia="zh-CN"/>
              </w:rPr>
              <w:t>落实</w:t>
            </w:r>
            <w:r>
              <w:rPr>
                <w:rFonts w:hint="eastAsia" w:ascii="Times New Roman" w:hAnsi="Times New Roman" w:eastAsia="黑体" w:cs="黑体"/>
                <w:color w:val="auto"/>
                <w:szCs w:val="21"/>
              </w:rPr>
              <w:t>《</w:t>
            </w:r>
            <w:r>
              <w:rPr>
                <w:rFonts w:hint="eastAsia" w:ascii="Times New Roman" w:hAnsi="Times New Roman" w:eastAsia="黑体" w:cs="黑体"/>
                <w:color w:val="auto"/>
                <w:szCs w:val="21"/>
                <w:lang w:eastAsia="zh-CN"/>
              </w:rPr>
              <w:t>济南市</w:t>
            </w:r>
            <w:r>
              <w:rPr>
                <w:rFonts w:hint="eastAsia" w:ascii="Times New Roman" w:hAnsi="Times New Roman" w:eastAsia="黑体" w:cs="黑体"/>
                <w:color w:val="auto"/>
                <w:szCs w:val="21"/>
              </w:rPr>
              <w:t>城</w:t>
            </w:r>
            <w:r>
              <w:rPr>
                <w:rFonts w:hint="eastAsia" w:ascii="Times New Roman" w:hAnsi="Times New Roman" w:eastAsia="黑体" w:cs="黑体"/>
                <w:color w:val="auto"/>
                <w:szCs w:val="21"/>
                <w:lang w:eastAsia="zh-CN"/>
              </w:rPr>
              <w:t>市</w:t>
            </w:r>
            <w:r>
              <w:rPr>
                <w:rFonts w:hint="eastAsia" w:ascii="Times New Roman" w:hAnsi="Times New Roman" w:eastAsia="黑体" w:cs="黑体"/>
                <w:color w:val="auto"/>
                <w:szCs w:val="21"/>
              </w:rPr>
              <w:t>建筑垃圾处理管理条例》</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城管局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10</w:t>
            </w:r>
          </w:p>
        </w:tc>
        <w:tc>
          <w:tcPr>
            <w:tcW w:w="1363" w:type="pct"/>
            <w:noWrap w:val="0"/>
            <w:vAlign w:val="center"/>
          </w:tcPr>
          <w:p>
            <w:pPr>
              <w:adjustRightInd w:val="0"/>
              <w:snapToGrid w:val="0"/>
              <w:jc w:val="left"/>
              <w:rPr>
                <w:rFonts w:hint="eastAsia" w:ascii="Times New Roman" w:hAnsi="Times New Roman" w:eastAsia="黑体" w:cs="黑体"/>
                <w:color w:val="auto"/>
                <w:szCs w:val="21"/>
              </w:rPr>
            </w:pPr>
            <w:r>
              <w:rPr>
                <w:rFonts w:hint="eastAsia" w:ascii="Times New Roman" w:hAnsi="Times New Roman" w:eastAsia="黑体" w:cs="黑体"/>
                <w:color w:val="auto"/>
                <w:szCs w:val="21"/>
                <w:lang w:val="en-US" w:eastAsia="zh-CN"/>
              </w:rPr>
              <w:t>配合落实</w:t>
            </w:r>
            <w:r>
              <w:rPr>
                <w:rFonts w:hint="eastAsia" w:ascii="Times New Roman" w:hAnsi="Times New Roman" w:eastAsia="黑体" w:cs="黑体"/>
                <w:color w:val="auto"/>
                <w:szCs w:val="21"/>
              </w:rPr>
              <w:t>《</w:t>
            </w:r>
            <w:r>
              <w:rPr>
                <w:rFonts w:hint="eastAsia" w:ascii="Times New Roman" w:hAnsi="Times New Roman" w:eastAsia="黑体" w:cs="黑体"/>
                <w:color w:val="auto"/>
                <w:szCs w:val="21"/>
                <w:lang w:val="en-US" w:eastAsia="zh-CN"/>
              </w:rPr>
              <w:t>济南市</w:t>
            </w:r>
            <w:r>
              <w:rPr>
                <w:rFonts w:hint="eastAsia" w:ascii="Times New Roman" w:hAnsi="Times New Roman" w:eastAsia="黑体" w:cs="黑体"/>
                <w:color w:val="auto"/>
                <w:szCs w:val="21"/>
              </w:rPr>
              <w:t>“十四五”绿色低碳循环发展规划》</w:t>
            </w:r>
          </w:p>
        </w:tc>
        <w:tc>
          <w:tcPr>
            <w:tcW w:w="2141" w:type="pct"/>
            <w:noWrap w:val="0"/>
            <w:vAlign w:val="center"/>
          </w:tcPr>
          <w:p>
            <w:pPr>
              <w:adjustRightInd w:val="0"/>
              <w:snapToGrid w:val="0"/>
              <w:jc w:val="left"/>
              <w:rPr>
                <w:rFonts w:hint="eastAsia" w:ascii="Times New Roman" w:hAnsi="Times New Roman" w:eastAsia="黑体" w:cs="黑体"/>
                <w:color w:val="auto"/>
                <w:szCs w:val="21"/>
              </w:rPr>
            </w:pPr>
            <w:r>
              <w:rPr>
                <w:rFonts w:hint="eastAsia" w:ascii="Times New Roman" w:hAnsi="Times New Roman" w:eastAsia="黑体" w:cs="黑体"/>
                <w:color w:val="auto"/>
                <w:szCs w:val="21"/>
                <w:lang w:val="en-US" w:eastAsia="zh-CN"/>
              </w:rPr>
              <w:t>配合落实《济南市“十四五”绿色低碳循环发展规划》</w:t>
            </w:r>
            <w:r>
              <w:rPr>
                <w:rFonts w:hint="eastAsia" w:ascii="Times New Roman" w:hAnsi="Times New Roman" w:eastAsia="黑体" w:cs="黑体"/>
                <w:color w:val="auto"/>
                <w:szCs w:val="21"/>
              </w:rPr>
              <w:t>。</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区发展改革局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11</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lang w:val="en-US" w:eastAsia="zh-CN"/>
              </w:rPr>
              <w:t>配合落实</w:t>
            </w:r>
            <w:r>
              <w:rPr>
                <w:rFonts w:hint="eastAsia" w:ascii="Times New Roman" w:hAnsi="Times New Roman" w:eastAsia="黑体" w:cs="黑体"/>
                <w:color w:val="auto"/>
                <w:szCs w:val="21"/>
              </w:rPr>
              <w:t>《</w:t>
            </w:r>
            <w:r>
              <w:rPr>
                <w:rFonts w:hint="eastAsia" w:ascii="Times New Roman" w:hAnsi="Times New Roman" w:eastAsia="黑体" w:cs="黑体"/>
                <w:color w:val="auto"/>
                <w:szCs w:val="21"/>
                <w:lang w:val="en-US" w:eastAsia="zh-CN"/>
              </w:rPr>
              <w:t>济南市</w:t>
            </w:r>
            <w:r>
              <w:rPr>
                <w:rFonts w:hint="eastAsia" w:ascii="Times New Roman" w:hAnsi="Times New Roman" w:eastAsia="黑体" w:cs="黑体"/>
                <w:color w:val="auto"/>
                <w:szCs w:val="21"/>
              </w:rPr>
              <w:t>“十四五”应对气候变化规划》</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lang w:val="en-US" w:eastAsia="zh-CN"/>
              </w:rPr>
              <w:t>配合落实</w:t>
            </w:r>
            <w:r>
              <w:rPr>
                <w:rFonts w:hint="eastAsia" w:ascii="Times New Roman" w:hAnsi="Times New Roman" w:eastAsia="黑体" w:cs="黑体"/>
                <w:color w:val="auto"/>
                <w:szCs w:val="21"/>
              </w:rPr>
              <w:t>《</w:t>
            </w:r>
            <w:r>
              <w:rPr>
                <w:rFonts w:hint="eastAsia" w:ascii="Times New Roman" w:hAnsi="Times New Roman" w:eastAsia="黑体" w:cs="黑体"/>
                <w:color w:val="auto"/>
                <w:szCs w:val="21"/>
                <w:lang w:val="en-US" w:eastAsia="zh-CN"/>
              </w:rPr>
              <w:t>济南市</w:t>
            </w:r>
            <w:r>
              <w:rPr>
                <w:rFonts w:hint="eastAsia" w:ascii="Times New Roman" w:hAnsi="Times New Roman" w:eastAsia="黑体" w:cs="黑体"/>
                <w:color w:val="auto"/>
                <w:szCs w:val="21"/>
              </w:rPr>
              <w:t>“十四五”应对气候变化规划》。</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市生态环境局莱芜分局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12</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建立绿色工厂、绿色工业园区创建推动工作机制</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积极推动国家级、省级绿色工厂和绿色工业园区申报，对通过绿色认证的工厂和园区实施持续跟踪监管。</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工业和信息化局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13</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建立健全政府绿色采购制度</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落实绿色采购制度要求，督促采购人严格执行节能环保强制采购和优先采购政策规定。</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莱芜区“无废城市”建设工作专班成员单位</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1</w:t>
            </w:r>
            <w:r>
              <w:rPr>
                <w:rFonts w:ascii="Times New Roman" w:hAnsi="Times New Roman" w:eastAsia="黑体" w:cs="黑体"/>
                <w:color w:val="auto"/>
                <w:szCs w:val="21"/>
              </w:rPr>
              <w:t>4</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完善医疗废物应急处置预案</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完善医疗废物应急处置预案，重点提升涉疫废物收运能力，强化涉疫废物收运过程环境管理和风险防范。</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市生态环境局莱芜分局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hint="default" w:ascii="Times New Roman" w:hAnsi="Times New Roman" w:eastAsia="黑体" w:cs="黑体"/>
                <w:color w:val="auto"/>
                <w:szCs w:val="21"/>
                <w:lang w:val="en-US" w:eastAsia="zh-CN"/>
              </w:rPr>
            </w:pPr>
            <w:r>
              <w:rPr>
                <w:rFonts w:hint="eastAsia" w:ascii="Times New Roman" w:hAnsi="Times New Roman" w:eastAsia="黑体" w:cs="黑体"/>
                <w:color w:val="auto"/>
                <w:szCs w:val="21"/>
                <w:lang w:val="en-US" w:eastAsia="zh-CN"/>
              </w:rPr>
              <w:t>15</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制定塑料污染治理年度工作要点</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根据国家、省塑料污染治理相关要求，制定塑料污染治理年度工作要点，明确任务措施、工作目标和责任单位等内容。</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区发展改革局</w:t>
            </w:r>
          </w:p>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市生态环境局莱芜分局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bl>
    <w:p>
      <w:pPr>
        <w:pStyle w:val="2"/>
        <w:ind w:left="0" w:leftChars="0" w:firstLine="0" w:firstLineChars="0"/>
        <w:rPr>
          <w:color w:val="auto"/>
        </w:rPr>
      </w:pPr>
    </w:p>
    <w:p>
      <w:pPr>
        <w:widowControl/>
        <w:ind w:firstLine="640" w:firstLineChars="200"/>
        <w:jc w:val="left"/>
        <w:rPr>
          <w:rFonts w:ascii="Times New Roman" w:hAnsi="Times New Roman" w:eastAsia="黑体"/>
          <w:color w:val="auto"/>
          <w:sz w:val="32"/>
          <w:szCs w:val="28"/>
        </w:rPr>
      </w:pPr>
      <w:r>
        <w:rPr>
          <w:rFonts w:hint="eastAsia" w:ascii="Times New Roman" w:hAnsi="Times New Roman" w:eastAsia="黑体"/>
          <w:color w:val="auto"/>
          <w:sz w:val="32"/>
          <w:szCs w:val="28"/>
        </w:rPr>
        <w:t>二、技术体系</w:t>
      </w:r>
    </w:p>
    <w:tbl>
      <w:tblPr>
        <w:tblStyle w:val="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42"/>
        <w:gridCol w:w="3537"/>
        <w:gridCol w:w="5532"/>
        <w:gridCol w:w="1983"/>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785" w:type="dxa"/>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序号</w:t>
            </w:r>
          </w:p>
        </w:tc>
        <w:tc>
          <w:tcPr>
            <w:tcW w:w="3811" w:type="dxa"/>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任务名称</w:t>
            </w:r>
          </w:p>
        </w:tc>
        <w:tc>
          <w:tcPr>
            <w:tcW w:w="5985" w:type="dxa"/>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主要内容</w:t>
            </w:r>
          </w:p>
        </w:tc>
        <w:tc>
          <w:tcPr>
            <w:tcW w:w="2137" w:type="dxa"/>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责任单位</w:t>
            </w:r>
          </w:p>
        </w:tc>
        <w:tc>
          <w:tcPr>
            <w:tcW w:w="1440" w:type="dxa"/>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w:t>
            </w:r>
          </w:p>
        </w:tc>
        <w:tc>
          <w:tcPr>
            <w:tcW w:w="3811" w:type="dxa"/>
            <w:noWrap w:val="0"/>
            <w:vAlign w:val="center"/>
          </w:tcPr>
          <w:p>
            <w:pPr>
              <w:adjustRightInd w:val="0"/>
              <w:snapToGrid w:val="0"/>
              <w:jc w:val="left"/>
              <w:rPr>
                <w:rFonts w:ascii="Times New Roman" w:hAnsi="Times New Roman" w:eastAsia="黑体" w:cs="黑体"/>
                <w:color w:val="auto"/>
                <w:szCs w:val="21"/>
              </w:rPr>
            </w:pPr>
            <w:r>
              <w:rPr>
                <w:rFonts w:ascii="Times New Roman" w:hAnsi="Times New Roman" w:eastAsia="黑体" w:cs="黑体"/>
                <w:color w:val="auto"/>
                <w:szCs w:val="21"/>
              </w:rPr>
              <w:t>生活垃圾（厨余垃圾）</w:t>
            </w:r>
            <w:r>
              <w:rPr>
                <w:rFonts w:hint="eastAsia" w:ascii="Times New Roman" w:hAnsi="Times New Roman" w:eastAsia="黑体" w:cs="黑体"/>
                <w:color w:val="auto"/>
                <w:szCs w:val="21"/>
              </w:rPr>
              <w:t>资源</w:t>
            </w:r>
            <w:r>
              <w:rPr>
                <w:rFonts w:ascii="Times New Roman" w:hAnsi="Times New Roman" w:eastAsia="黑体" w:cs="黑体"/>
                <w:color w:val="auto"/>
                <w:szCs w:val="21"/>
              </w:rPr>
              <w:t>化利用技术</w:t>
            </w:r>
            <w:r>
              <w:rPr>
                <w:rFonts w:hint="eastAsia" w:ascii="Times New Roman" w:hAnsi="Times New Roman" w:eastAsia="黑体" w:cs="黑体"/>
                <w:color w:val="auto"/>
                <w:szCs w:val="21"/>
              </w:rPr>
              <w:t>推广</w:t>
            </w:r>
          </w:p>
        </w:tc>
        <w:tc>
          <w:tcPr>
            <w:tcW w:w="5985"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以其他生活垃圾“零填埋”全量焚烧发电，厨余垃圾油脂制备生物质柴油等为例，推广</w:t>
            </w:r>
            <w:r>
              <w:rPr>
                <w:rFonts w:ascii="Times New Roman" w:hAnsi="Times New Roman" w:eastAsia="黑体" w:cs="黑体"/>
                <w:color w:val="auto"/>
                <w:szCs w:val="21"/>
              </w:rPr>
              <w:t>生活垃圾（厨余垃圾）</w:t>
            </w:r>
            <w:r>
              <w:rPr>
                <w:rFonts w:hint="eastAsia" w:ascii="Times New Roman" w:hAnsi="Times New Roman" w:eastAsia="黑体" w:cs="黑体"/>
                <w:color w:val="auto"/>
                <w:szCs w:val="21"/>
              </w:rPr>
              <w:t>资源</w:t>
            </w:r>
            <w:r>
              <w:rPr>
                <w:rFonts w:ascii="Times New Roman" w:hAnsi="Times New Roman" w:eastAsia="黑体" w:cs="黑体"/>
                <w:color w:val="auto"/>
                <w:szCs w:val="21"/>
              </w:rPr>
              <w:t>化利用技术。</w:t>
            </w:r>
          </w:p>
        </w:tc>
        <w:tc>
          <w:tcPr>
            <w:tcW w:w="2137"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城管局</w:t>
            </w:r>
          </w:p>
        </w:tc>
        <w:tc>
          <w:tcPr>
            <w:tcW w:w="1440" w:type="dxa"/>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w:t>
            </w:r>
          </w:p>
        </w:tc>
        <w:tc>
          <w:tcPr>
            <w:tcW w:w="3811" w:type="dxa"/>
            <w:noWrap w:val="0"/>
            <w:vAlign w:val="center"/>
          </w:tcPr>
          <w:p>
            <w:pPr>
              <w:adjustRightInd w:val="0"/>
              <w:snapToGrid w:val="0"/>
              <w:jc w:val="left"/>
              <w:rPr>
                <w:rFonts w:ascii="Times New Roman" w:hAnsi="Times New Roman" w:eastAsia="黑体" w:cs="黑体"/>
                <w:color w:val="auto"/>
                <w:szCs w:val="21"/>
              </w:rPr>
            </w:pPr>
            <w:r>
              <w:rPr>
                <w:rFonts w:ascii="Times New Roman" w:hAnsi="Times New Roman" w:eastAsia="黑体" w:cs="黑体"/>
                <w:color w:val="auto"/>
                <w:szCs w:val="21"/>
              </w:rPr>
              <w:t>化肥和农药减量技术</w:t>
            </w:r>
            <w:r>
              <w:rPr>
                <w:rFonts w:hint="eastAsia" w:ascii="Times New Roman" w:hAnsi="Times New Roman" w:eastAsia="黑体" w:cs="黑体"/>
                <w:color w:val="auto"/>
                <w:szCs w:val="21"/>
              </w:rPr>
              <w:t>推广</w:t>
            </w:r>
          </w:p>
        </w:tc>
        <w:tc>
          <w:tcPr>
            <w:tcW w:w="5985"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推广水肥一体化、测土配方施肥等化肥和农药减量技术。</w:t>
            </w:r>
          </w:p>
        </w:tc>
        <w:tc>
          <w:tcPr>
            <w:tcW w:w="2137" w:type="dxa"/>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农业农村局</w:t>
            </w:r>
          </w:p>
        </w:tc>
        <w:tc>
          <w:tcPr>
            <w:tcW w:w="1440" w:type="dxa"/>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3</w:t>
            </w:r>
          </w:p>
        </w:tc>
        <w:tc>
          <w:tcPr>
            <w:tcW w:w="3811"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秸秆资源化利用技术推广</w:t>
            </w:r>
          </w:p>
        </w:tc>
        <w:tc>
          <w:tcPr>
            <w:tcW w:w="5985"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依托农作物秸秆综合利用项目建设，推进秸秆肥料化、燃料化、基料化、饲料化、原料化利用，探索秸秆综合利用新模式。</w:t>
            </w:r>
          </w:p>
        </w:tc>
        <w:tc>
          <w:tcPr>
            <w:tcW w:w="2137" w:type="dxa"/>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农业农村局</w:t>
            </w:r>
          </w:p>
        </w:tc>
        <w:tc>
          <w:tcPr>
            <w:tcW w:w="1440" w:type="dxa"/>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4</w:t>
            </w:r>
          </w:p>
        </w:tc>
        <w:tc>
          <w:tcPr>
            <w:tcW w:w="3811"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农膜减量化利用技术推广</w:t>
            </w:r>
          </w:p>
        </w:tc>
        <w:tc>
          <w:tcPr>
            <w:tcW w:w="5985"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加大0.01毫米以上高强度加厚地膜和全生物可降解地膜推广力度，开展地膜回收示范点建设。</w:t>
            </w:r>
          </w:p>
        </w:tc>
        <w:tc>
          <w:tcPr>
            <w:tcW w:w="2137" w:type="dxa"/>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农业农村局</w:t>
            </w:r>
          </w:p>
        </w:tc>
        <w:tc>
          <w:tcPr>
            <w:tcW w:w="1440" w:type="dxa"/>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5</w:t>
            </w:r>
          </w:p>
        </w:tc>
        <w:tc>
          <w:tcPr>
            <w:tcW w:w="3811"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一般工业固废资源化利用技术推广</w:t>
            </w:r>
          </w:p>
        </w:tc>
        <w:tc>
          <w:tcPr>
            <w:tcW w:w="5985"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鼓励企业联合高校和科研院所，依托现有固体废物资源化利用相关技术创新中心、共同体，促进关键核心技术攻关和成果转移转化。</w:t>
            </w:r>
          </w:p>
        </w:tc>
        <w:tc>
          <w:tcPr>
            <w:tcW w:w="2137"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科技局</w:t>
            </w:r>
          </w:p>
        </w:tc>
        <w:tc>
          <w:tcPr>
            <w:tcW w:w="1440" w:type="dxa"/>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6</w:t>
            </w:r>
          </w:p>
        </w:tc>
        <w:tc>
          <w:tcPr>
            <w:tcW w:w="3811" w:type="dxa"/>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制定有关建筑垃圾处置场所管理标准</w:t>
            </w:r>
          </w:p>
        </w:tc>
        <w:tc>
          <w:tcPr>
            <w:tcW w:w="5985" w:type="dxa"/>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ascii="Times New Roman" w:hAnsi="Times New Roman" w:eastAsia="黑体" w:cs="黑体"/>
                <w:color w:val="auto"/>
                <w:szCs w:val="21"/>
              </w:rPr>
              <w:t>结合我</w:t>
            </w: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建筑垃圾处置经验，</w:t>
            </w:r>
            <w:r>
              <w:rPr>
                <w:rFonts w:hint="eastAsia" w:ascii="Times New Roman" w:hAnsi="Times New Roman" w:eastAsia="黑体" w:cs="黑体"/>
                <w:color w:val="auto"/>
                <w:szCs w:val="21"/>
                <w:lang w:eastAsia="zh-CN"/>
              </w:rPr>
              <w:t>配合市城管局</w:t>
            </w:r>
            <w:r>
              <w:rPr>
                <w:rFonts w:hint="eastAsia" w:ascii="Times New Roman" w:hAnsi="Times New Roman" w:eastAsia="黑体" w:cs="黑体"/>
                <w:color w:val="auto"/>
                <w:szCs w:val="21"/>
              </w:rPr>
              <w:t>制定有关建筑垃圾处置场所管理标准。</w:t>
            </w:r>
          </w:p>
        </w:tc>
        <w:tc>
          <w:tcPr>
            <w:tcW w:w="2137" w:type="dxa"/>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城管局</w:t>
            </w:r>
          </w:p>
        </w:tc>
        <w:tc>
          <w:tcPr>
            <w:tcW w:w="1440" w:type="dxa"/>
            <w:noWrap w:val="0"/>
            <w:vAlign w:val="center"/>
          </w:tcPr>
          <w:p>
            <w:pPr>
              <w:adjustRightInd w:val="0"/>
              <w:snapToGrid w:val="0"/>
              <w:jc w:val="center"/>
              <w:rPr>
                <w:rFonts w:ascii="Times New Roman" w:hAnsi="Times New Roman" w:eastAsia="仿宋_GB2312" w:cs="Times New Roman"/>
                <w:color w:val="auto"/>
                <w:kern w:val="2"/>
                <w:sz w:val="28"/>
                <w:szCs w:val="24"/>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7</w:t>
            </w:r>
          </w:p>
        </w:tc>
        <w:tc>
          <w:tcPr>
            <w:tcW w:w="3811" w:type="dxa"/>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重点行业一般固体废物源头减量技术推广</w:t>
            </w:r>
          </w:p>
        </w:tc>
        <w:tc>
          <w:tcPr>
            <w:tcW w:w="5985" w:type="dxa"/>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以钢铁、采矿、</w:t>
            </w:r>
            <w:r>
              <w:rPr>
                <w:rFonts w:hint="eastAsia" w:ascii="Times New Roman" w:hAnsi="Times New Roman" w:eastAsia="黑体" w:cs="黑体"/>
                <w:color w:val="auto"/>
                <w:szCs w:val="21"/>
                <w:lang w:eastAsia="zh-CN"/>
              </w:rPr>
              <w:t>化工</w:t>
            </w:r>
            <w:r>
              <w:rPr>
                <w:rFonts w:hint="eastAsia" w:ascii="Times New Roman" w:hAnsi="Times New Roman" w:eastAsia="黑体" w:cs="黑体"/>
                <w:color w:val="auto"/>
                <w:szCs w:val="21"/>
              </w:rPr>
              <w:t>、食品制造企业等为重点，制定一般固体废物源头减量措施；引导产废企业加强生产过程管理、优化固废处理工艺，提高固废资源品质，降低综合利用难度</w:t>
            </w:r>
          </w:p>
        </w:tc>
        <w:tc>
          <w:tcPr>
            <w:tcW w:w="2137"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工业和信息化局</w:t>
            </w:r>
          </w:p>
          <w:p>
            <w:pPr>
              <w:adjustRightInd w:val="0"/>
              <w:snapToGrid w:val="0"/>
              <w:jc w:val="cente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区自然资源局</w:t>
            </w:r>
          </w:p>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1440" w:type="dxa"/>
            <w:noWrap w:val="0"/>
            <w:vAlign w:val="center"/>
          </w:tcPr>
          <w:p>
            <w:pPr>
              <w:adjustRightInd w:val="0"/>
              <w:snapToGrid w:val="0"/>
              <w:jc w:val="center"/>
              <w:rPr>
                <w:rFonts w:ascii="Times New Roman" w:hAnsi="Times New Roman" w:eastAsia="仿宋_GB2312" w:cs="Times New Roman"/>
                <w:color w:val="auto"/>
                <w:kern w:val="2"/>
                <w:sz w:val="28"/>
                <w:szCs w:val="24"/>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8</w:t>
            </w:r>
          </w:p>
        </w:tc>
        <w:tc>
          <w:tcPr>
            <w:tcW w:w="3811" w:type="dxa"/>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rPr>
              <w:t>推动省级及以上工业园区循环化改造</w:t>
            </w:r>
          </w:p>
        </w:tc>
        <w:tc>
          <w:tcPr>
            <w:tcW w:w="5985" w:type="dxa"/>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rPr>
              <w:t>以省级暨以上工业园区为重点，实施园区循环化改造。</w:t>
            </w:r>
          </w:p>
        </w:tc>
        <w:tc>
          <w:tcPr>
            <w:tcW w:w="2137" w:type="dxa"/>
            <w:noWrap w:val="0"/>
            <w:vAlign w:val="center"/>
          </w:tcPr>
          <w:p>
            <w:pPr>
              <w:adjustRightInd w:val="0"/>
              <w:snapToGrid w:val="0"/>
              <w:jc w:val="cente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莱芜高新区管委会</w:t>
            </w:r>
          </w:p>
          <w:p>
            <w:pPr>
              <w:adjustRightInd w:val="0"/>
              <w:snapToGrid w:val="0"/>
              <w:jc w:val="center"/>
              <w:rPr>
                <w:color w:val="auto"/>
                <w:lang w:val="en-US" w:eastAsia="zh-CN"/>
              </w:rPr>
            </w:pPr>
            <w:r>
              <w:rPr>
                <w:rFonts w:hint="eastAsia" w:ascii="Times New Roman" w:hAnsi="Times New Roman" w:eastAsia="黑体" w:cs="黑体"/>
                <w:color w:val="auto"/>
                <w:szCs w:val="21"/>
                <w:lang w:eastAsia="zh-CN"/>
              </w:rPr>
              <w:t>区发展改革局</w:t>
            </w:r>
          </w:p>
        </w:tc>
        <w:tc>
          <w:tcPr>
            <w:tcW w:w="1440" w:type="dxa"/>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val="en-US" w:eastAsia="zh-CN"/>
              </w:rPr>
              <w:t>9</w:t>
            </w:r>
          </w:p>
        </w:tc>
        <w:tc>
          <w:tcPr>
            <w:tcW w:w="3811" w:type="dxa"/>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推动重点行业绿色化改造</w:t>
            </w:r>
          </w:p>
        </w:tc>
        <w:tc>
          <w:tcPr>
            <w:tcW w:w="5985" w:type="dxa"/>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加快推动钢铁、化工、电力等行业绿色化改造。</w:t>
            </w:r>
          </w:p>
        </w:tc>
        <w:tc>
          <w:tcPr>
            <w:tcW w:w="2137" w:type="dxa"/>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工业和信息化局</w:t>
            </w:r>
          </w:p>
        </w:tc>
        <w:tc>
          <w:tcPr>
            <w:tcW w:w="1440" w:type="dxa"/>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bl>
    <w:p>
      <w:pPr>
        <w:adjustRightInd w:val="0"/>
        <w:snapToGrid w:val="0"/>
        <w:spacing w:beforeLines="50" w:afterLines="50" w:line="560" w:lineRule="exact"/>
        <w:ind w:firstLine="640" w:firstLineChars="200"/>
        <w:rPr>
          <w:rFonts w:hint="eastAsia" w:ascii="Times New Roman" w:hAnsi="Times New Roman" w:eastAsia="黑体"/>
          <w:color w:val="auto"/>
          <w:sz w:val="32"/>
          <w:szCs w:val="28"/>
        </w:rPr>
      </w:pPr>
    </w:p>
    <w:p>
      <w:pPr>
        <w:adjustRightInd w:val="0"/>
        <w:snapToGrid w:val="0"/>
        <w:spacing w:beforeLines="50" w:afterLines="50" w:line="560" w:lineRule="exact"/>
        <w:ind w:firstLine="640" w:firstLineChars="200"/>
        <w:rPr>
          <w:rFonts w:ascii="Times New Roman" w:hAnsi="Times New Roman" w:eastAsia="黑体"/>
          <w:color w:val="auto"/>
          <w:sz w:val="32"/>
          <w:szCs w:val="28"/>
        </w:rPr>
      </w:pPr>
      <w:r>
        <w:rPr>
          <w:rFonts w:hint="eastAsia" w:ascii="Times New Roman" w:hAnsi="Times New Roman" w:eastAsia="黑体"/>
          <w:color w:val="auto"/>
          <w:sz w:val="32"/>
          <w:szCs w:val="28"/>
        </w:rPr>
        <w:t>三、</w:t>
      </w:r>
      <w:r>
        <w:rPr>
          <w:rFonts w:hint="eastAsia" w:ascii="Times New Roman" w:hAnsi="Times New Roman" w:eastAsia="黑体"/>
          <w:color w:val="auto"/>
          <w:sz w:val="32"/>
          <w:szCs w:val="28"/>
          <w:lang w:eastAsia="zh-CN"/>
        </w:rPr>
        <w:t>市场</w:t>
      </w:r>
      <w:r>
        <w:rPr>
          <w:rFonts w:hint="eastAsia" w:ascii="Times New Roman" w:hAnsi="Times New Roman" w:eastAsia="黑体"/>
          <w:color w:val="auto"/>
          <w:sz w:val="32"/>
          <w:szCs w:val="28"/>
        </w:rPr>
        <w:t>体系</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31"/>
        <w:gridCol w:w="3567"/>
        <w:gridCol w:w="5617"/>
        <w:gridCol w:w="186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277"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序号</w:t>
            </w:r>
          </w:p>
        </w:tc>
        <w:tc>
          <w:tcPr>
            <w:tcW w:w="1351"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任务名称</w:t>
            </w:r>
          </w:p>
        </w:tc>
        <w:tc>
          <w:tcPr>
            <w:tcW w:w="2127"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主要内容</w:t>
            </w:r>
          </w:p>
        </w:tc>
        <w:tc>
          <w:tcPr>
            <w:tcW w:w="707"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责任单位</w:t>
            </w:r>
          </w:p>
        </w:tc>
        <w:tc>
          <w:tcPr>
            <w:tcW w:w="536"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7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w:t>
            </w:r>
          </w:p>
        </w:tc>
        <w:tc>
          <w:tcPr>
            <w:tcW w:w="135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落实固废相关税收优惠政策</w:t>
            </w:r>
          </w:p>
        </w:tc>
        <w:tc>
          <w:tcPr>
            <w:tcW w:w="2127"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按照国家和省相关规定，落实资源综合利用产品和劳务增值税即征即退，资源综合利用企业所得税减计收入、研发费加计扣除，综合利用的固体废物暂免征环境保护税，节能环保所得税减免等税收优惠政策。</w:t>
            </w:r>
          </w:p>
        </w:tc>
        <w:tc>
          <w:tcPr>
            <w:tcW w:w="70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税务局</w:t>
            </w:r>
          </w:p>
        </w:tc>
        <w:tc>
          <w:tcPr>
            <w:tcW w:w="536" w:type="pct"/>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7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w:t>
            </w:r>
          </w:p>
        </w:tc>
        <w:tc>
          <w:tcPr>
            <w:tcW w:w="135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争取中央生态环境资金项目</w:t>
            </w:r>
          </w:p>
        </w:tc>
        <w:tc>
          <w:tcPr>
            <w:tcW w:w="2127" w:type="pct"/>
            <w:noWrap w:val="0"/>
            <w:vAlign w:val="center"/>
          </w:tcPr>
          <w:p>
            <w:pPr>
              <w:adjustRightInd w:val="0"/>
              <w:snapToGrid w:val="0"/>
              <w:jc w:val="left"/>
              <w:rPr>
                <w:rFonts w:ascii="Times New Roman" w:hAnsi="Times New Roman" w:eastAsia="黑体" w:cs="黑体"/>
                <w:color w:val="auto"/>
                <w:szCs w:val="21"/>
              </w:rPr>
            </w:pPr>
            <w:r>
              <w:rPr>
                <w:rFonts w:ascii="Times New Roman" w:hAnsi="Times New Roman" w:eastAsia="黑体" w:cs="黑体"/>
                <w:color w:val="auto"/>
                <w:szCs w:val="21"/>
              </w:rPr>
              <w:t>根据中央生态环境资金项目申报要</w:t>
            </w:r>
            <w:r>
              <w:rPr>
                <w:rFonts w:hint="eastAsia" w:ascii="Times New Roman" w:hAnsi="Times New Roman" w:eastAsia="黑体" w:cs="黑体"/>
                <w:color w:val="auto"/>
                <w:szCs w:val="21"/>
              </w:rPr>
              <w:t>求</w:t>
            </w:r>
            <w:r>
              <w:rPr>
                <w:rFonts w:ascii="Times New Roman" w:hAnsi="Times New Roman" w:eastAsia="黑体" w:cs="黑体"/>
                <w:color w:val="auto"/>
                <w:szCs w:val="21"/>
              </w:rPr>
              <w:t>，组织争取</w:t>
            </w:r>
            <w:r>
              <w:rPr>
                <w:rFonts w:hint="eastAsia" w:ascii="Times New Roman" w:hAnsi="Times New Roman" w:eastAsia="黑体" w:cs="黑体"/>
                <w:color w:val="auto"/>
                <w:szCs w:val="21"/>
              </w:rPr>
              <w:t>中央生态环境资金项目。</w:t>
            </w:r>
          </w:p>
        </w:tc>
        <w:tc>
          <w:tcPr>
            <w:tcW w:w="70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市生态环境局莱芜分局</w:t>
            </w:r>
          </w:p>
        </w:tc>
        <w:tc>
          <w:tcPr>
            <w:tcW w:w="536" w:type="pct"/>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7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3</w:t>
            </w:r>
          </w:p>
        </w:tc>
        <w:tc>
          <w:tcPr>
            <w:tcW w:w="135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生活垃圾处置领域</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场化运作先行先试</w:t>
            </w:r>
          </w:p>
        </w:tc>
        <w:tc>
          <w:tcPr>
            <w:tcW w:w="2127"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采用特许经营、政府与社会资本合作、股权合作、企业独资等模式，积极在餐厨垃圾、其他垃圾领域先行先试。</w:t>
            </w:r>
          </w:p>
        </w:tc>
        <w:tc>
          <w:tcPr>
            <w:tcW w:w="70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城管局</w:t>
            </w:r>
          </w:p>
        </w:tc>
        <w:tc>
          <w:tcPr>
            <w:tcW w:w="536" w:type="pct"/>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7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4</w:t>
            </w:r>
          </w:p>
        </w:tc>
        <w:tc>
          <w:tcPr>
            <w:tcW w:w="135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危险废物经营单位参保环境污染责任保险</w:t>
            </w:r>
          </w:p>
        </w:tc>
        <w:tc>
          <w:tcPr>
            <w:tcW w:w="2127"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持续推动危险废物经营单位全部参保环境污染责任保险，并探索做好保额限制工作。</w:t>
            </w:r>
          </w:p>
        </w:tc>
        <w:tc>
          <w:tcPr>
            <w:tcW w:w="70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市生态环境局莱芜分局</w:t>
            </w:r>
          </w:p>
        </w:tc>
        <w:tc>
          <w:tcPr>
            <w:tcW w:w="536" w:type="pct"/>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7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5</w:t>
            </w:r>
          </w:p>
        </w:tc>
        <w:tc>
          <w:tcPr>
            <w:tcW w:w="135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培育发展废钢铁、废橡胶等利用主体</w:t>
            </w:r>
          </w:p>
        </w:tc>
        <w:tc>
          <w:tcPr>
            <w:tcW w:w="2127"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以废钢铁和废橡胶回收利用主体为示范，积极培育废有色金属、废塑料、废纸、废玻璃、废旧轮胎、废旧动力电池等再生资源回收利用主体。</w:t>
            </w:r>
          </w:p>
        </w:tc>
        <w:tc>
          <w:tcPr>
            <w:tcW w:w="70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工业和信息化局</w:t>
            </w:r>
          </w:p>
        </w:tc>
        <w:tc>
          <w:tcPr>
            <w:tcW w:w="536"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7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6</w:t>
            </w:r>
          </w:p>
        </w:tc>
        <w:tc>
          <w:tcPr>
            <w:tcW w:w="135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倡导宾馆、餐饮等服务行业，推广使用可循环利用物品，不主动提供一次性易耗品</w:t>
            </w:r>
          </w:p>
        </w:tc>
        <w:tc>
          <w:tcPr>
            <w:tcW w:w="2127"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倡导宾馆、餐饮等服务行业，推广使用可循环利用物品，不主动提供一次性易耗品。</w:t>
            </w:r>
          </w:p>
        </w:tc>
        <w:tc>
          <w:tcPr>
            <w:tcW w:w="70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区商务综合服务中心</w:t>
            </w:r>
          </w:p>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文化旅游局</w:t>
            </w:r>
          </w:p>
        </w:tc>
        <w:tc>
          <w:tcPr>
            <w:tcW w:w="536"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bl>
    <w:p>
      <w:pPr>
        <w:adjustRightInd w:val="0"/>
        <w:snapToGrid w:val="0"/>
        <w:spacing w:beforeLines="50" w:afterLines="50" w:line="560" w:lineRule="exact"/>
        <w:ind w:firstLine="640" w:firstLineChars="200"/>
        <w:rPr>
          <w:rFonts w:hint="eastAsia" w:ascii="Times New Roman" w:hAnsi="Times New Roman" w:eastAsia="黑体"/>
          <w:color w:val="auto"/>
          <w:sz w:val="32"/>
          <w:szCs w:val="28"/>
        </w:rPr>
      </w:pPr>
    </w:p>
    <w:p>
      <w:pPr>
        <w:adjustRightInd w:val="0"/>
        <w:snapToGrid w:val="0"/>
        <w:spacing w:beforeLines="50" w:afterLines="50" w:line="560" w:lineRule="exact"/>
        <w:ind w:firstLine="640" w:firstLineChars="200"/>
        <w:rPr>
          <w:rFonts w:ascii="Times New Roman" w:hAnsi="Times New Roman" w:eastAsia="黑体"/>
          <w:color w:val="auto"/>
          <w:sz w:val="32"/>
          <w:szCs w:val="28"/>
        </w:rPr>
      </w:pPr>
      <w:r>
        <w:rPr>
          <w:rFonts w:hint="eastAsia" w:ascii="Times New Roman" w:hAnsi="Times New Roman" w:eastAsia="黑体"/>
          <w:color w:val="auto"/>
          <w:sz w:val="32"/>
          <w:szCs w:val="28"/>
        </w:rPr>
        <w:t>四、监管体系</w:t>
      </w:r>
    </w:p>
    <w:tbl>
      <w:tblPr>
        <w:tblStyle w:val="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26"/>
        <w:gridCol w:w="3572"/>
        <w:gridCol w:w="5621"/>
        <w:gridCol w:w="186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275"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序号</w:t>
            </w:r>
          </w:p>
        </w:tc>
        <w:tc>
          <w:tcPr>
            <w:tcW w:w="1353"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任务名称</w:t>
            </w:r>
          </w:p>
        </w:tc>
        <w:tc>
          <w:tcPr>
            <w:tcW w:w="2129"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主要内容</w:t>
            </w:r>
          </w:p>
        </w:tc>
        <w:tc>
          <w:tcPr>
            <w:tcW w:w="706"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责任单位</w:t>
            </w:r>
          </w:p>
        </w:tc>
        <w:tc>
          <w:tcPr>
            <w:tcW w:w="535"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w:t>
            </w:r>
          </w:p>
        </w:tc>
        <w:tc>
          <w:tcPr>
            <w:tcW w:w="135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开展涉重金属矿区历史遗留固体废物排查治理</w:t>
            </w:r>
          </w:p>
        </w:tc>
        <w:tc>
          <w:tcPr>
            <w:tcW w:w="2129" w:type="pct"/>
            <w:noWrap w:val="0"/>
            <w:vAlign w:val="center"/>
          </w:tcPr>
          <w:p>
            <w:pPr>
              <w:adjustRightInd w:val="0"/>
              <w:snapToGrid w:val="0"/>
              <w:jc w:val="left"/>
              <w:rPr>
                <w:rFonts w:ascii="Times New Roman" w:hAnsi="Times New Roman" w:eastAsia="黑体" w:cs="黑体"/>
                <w:color w:val="auto"/>
                <w:szCs w:val="21"/>
              </w:rPr>
            </w:pPr>
            <w:r>
              <w:rPr>
                <w:rFonts w:ascii="Times New Roman" w:hAnsi="Times New Roman" w:eastAsia="黑体" w:cs="黑体"/>
                <w:color w:val="auto"/>
                <w:szCs w:val="21"/>
              </w:rPr>
              <w:t>按照《</w:t>
            </w:r>
            <w:r>
              <w:rPr>
                <w:rFonts w:hint="eastAsia" w:ascii="Times New Roman" w:hAnsi="Times New Roman" w:eastAsia="黑体" w:cs="黑体"/>
                <w:color w:val="auto"/>
                <w:szCs w:val="21"/>
                <w:lang w:eastAsia="zh-CN"/>
              </w:rPr>
              <w:t>济南市</w:t>
            </w:r>
            <w:r>
              <w:rPr>
                <w:rFonts w:ascii="Times New Roman" w:hAnsi="Times New Roman" w:eastAsia="黑体" w:cs="黑体"/>
                <w:color w:val="auto"/>
                <w:szCs w:val="21"/>
              </w:rPr>
              <w:t>涉重金属矿区历史遗留固体废物排查整治工作方案》要求，开展</w:t>
            </w:r>
            <w:r>
              <w:rPr>
                <w:rFonts w:hint="eastAsia" w:ascii="Times New Roman" w:hAnsi="Times New Roman" w:eastAsia="黑体" w:cs="黑体"/>
                <w:color w:val="auto"/>
                <w:szCs w:val="21"/>
              </w:rPr>
              <w:t>涉重金属矿区历史遗留固体废物排查治理。</w:t>
            </w:r>
          </w:p>
        </w:tc>
        <w:tc>
          <w:tcPr>
            <w:tcW w:w="706"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w:t>
            </w:r>
          </w:p>
        </w:tc>
        <w:tc>
          <w:tcPr>
            <w:tcW w:w="135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对全口径涉重金属重点行业企业定期抽查</w:t>
            </w:r>
          </w:p>
        </w:tc>
        <w:tc>
          <w:tcPr>
            <w:tcW w:w="2129"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按照国家和省统一要求，对全口径涉重金属重点行业企业定期抽查。</w:t>
            </w:r>
          </w:p>
        </w:tc>
        <w:tc>
          <w:tcPr>
            <w:tcW w:w="706"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3</w:t>
            </w:r>
          </w:p>
        </w:tc>
        <w:tc>
          <w:tcPr>
            <w:tcW w:w="135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开展农膜生产销售专项执法检查活动</w:t>
            </w:r>
          </w:p>
        </w:tc>
        <w:tc>
          <w:tcPr>
            <w:tcW w:w="2129"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加强地膜产品质量监督管理，禁止生产、销售厚度小于0.01毫米的聚乙烯农用地膜。</w:t>
            </w:r>
          </w:p>
        </w:tc>
        <w:tc>
          <w:tcPr>
            <w:tcW w:w="706"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区市</w:t>
            </w:r>
            <w:r>
              <w:rPr>
                <w:rFonts w:ascii="Times New Roman" w:hAnsi="Times New Roman" w:eastAsia="黑体" w:cs="黑体"/>
                <w:color w:val="auto"/>
                <w:szCs w:val="21"/>
              </w:rPr>
              <w:t>场监管局</w:t>
            </w:r>
          </w:p>
        </w:tc>
        <w:tc>
          <w:tcPr>
            <w:tcW w:w="53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4</w:t>
            </w:r>
          </w:p>
        </w:tc>
        <w:tc>
          <w:tcPr>
            <w:tcW w:w="135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开展塑料袋使用专项监督检查</w:t>
            </w:r>
          </w:p>
        </w:tc>
        <w:tc>
          <w:tcPr>
            <w:tcW w:w="2129"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对超</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、商场、集贸</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场等商品零售场所销售、使用塑料购物袋的进行监督检查。</w:t>
            </w:r>
          </w:p>
        </w:tc>
        <w:tc>
          <w:tcPr>
            <w:tcW w:w="706" w:type="pct"/>
            <w:noWrap w:val="0"/>
            <w:vAlign w:val="center"/>
          </w:tcPr>
          <w:p>
            <w:pPr>
              <w:adjustRightInd w:val="0"/>
              <w:snapToGrid w:val="0"/>
              <w:jc w:val="center"/>
              <w:rPr>
                <w:rFonts w:hint="eastAsia" w:ascii="Times New Roman" w:hAnsi="Times New Roman" w:eastAsia="黑体" w:cs="黑体"/>
                <w:color w:val="auto"/>
                <w:szCs w:val="21"/>
              </w:rPr>
            </w:pPr>
            <w:r>
              <w:rPr>
                <w:rFonts w:hint="eastAsia" w:ascii="Times New Roman" w:hAnsi="Times New Roman" w:eastAsia="黑体" w:cs="黑体"/>
                <w:color w:val="auto"/>
                <w:szCs w:val="21"/>
                <w:lang w:eastAsia="zh-CN"/>
              </w:rPr>
              <w:t>区市</w:t>
            </w:r>
            <w:r>
              <w:rPr>
                <w:rFonts w:hint="eastAsia" w:ascii="Times New Roman" w:hAnsi="Times New Roman" w:eastAsia="黑体" w:cs="黑体"/>
                <w:color w:val="auto"/>
                <w:szCs w:val="21"/>
              </w:rPr>
              <w:t>场监管局</w:t>
            </w:r>
          </w:p>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区商务综合服务中心</w:t>
            </w:r>
          </w:p>
        </w:tc>
        <w:tc>
          <w:tcPr>
            <w:tcW w:w="53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5</w:t>
            </w:r>
          </w:p>
        </w:tc>
        <w:tc>
          <w:tcPr>
            <w:tcW w:w="135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开展建筑垃圾运输、消纳专项整治行动</w:t>
            </w:r>
          </w:p>
        </w:tc>
        <w:tc>
          <w:tcPr>
            <w:tcW w:w="2129"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开展建筑垃圾运输、消纳专项整治行动，严厉打击建筑垃圾运输过程中的违法行为。</w:t>
            </w:r>
          </w:p>
        </w:tc>
        <w:tc>
          <w:tcPr>
            <w:tcW w:w="706"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城管局</w:t>
            </w:r>
          </w:p>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市公安局莱芜区分局</w:t>
            </w:r>
          </w:p>
        </w:tc>
        <w:tc>
          <w:tcPr>
            <w:tcW w:w="53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6</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kern w:val="0"/>
                <w:szCs w:val="21"/>
              </w:rPr>
              <w:t>完善危险废物监管清单</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kern w:val="0"/>
                <w:szCs w:val="21"/>
              </w:rPr>
              <w:t>完善危险废物监管清单并持续动态更新，强化危险废物申报数据分析应用。</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kern w:val="0"/>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7</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强化危险废物全过程信息化监管</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kern w:val="0"/>
                <w:szCs w:val="21"/>
              </w:rPr>
              <w:t>督促涉危险废物单位纳入省固体废物和危险化学品信息化智慧监管系统，实现危险废物产生情况申报、管理计划备案、转移联单运行、利用处置情况报告等全过程动态在线监控。</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kern w:val="0"/>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8</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持续推进危险废物规范化管理</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对全</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危险废物产生、经营单位危险废物贮存等情况开展检查，督促企业落实主体责任。</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9</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在产企业环境信用评价管理</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依托山东省企业环境信用评价管理平台，对在产企业持续推进环境信用评价管理。</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10</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持续推进净菜入城</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加快推进净菜在标准化菜</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场、大型超</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等场所上</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区商务综合服务中心</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11</w:t>
            </w:r>
          </w:p>
        </w:tc>
        <w:tc>
          <w:tcPr>
            <w:tcW w:w="1353"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lang w:eastAsia="zh-CN"/>
              </w:rPr>
              <w:t>开展莱芜区“清废行动”突出问题排查整治工作</w:t>
            </w:r>
          </w:p>
        </w:tc>
        <w:tc>
          <w:tcPr>
            <w:tcW w:w="2129"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lang w:eastAsia="zh-CN"/>
              </w:rPr>
              <w:t>建立“卫星全覆盖排查—重点区域无人机抽查—现场调查—遥感回头看”的闭环模式，开展济南市“清废行动”遥感排查及整治工作。</w:t>
            </w:r>
          </w:p>
        </w:tc>
        <w:tc>
          <w:tcPr>
            <w:tcW w:w="706"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仿宋_GB2312" w:cs="Times New Roman"/>
                <w:color w:val="auto"/>
                <w:kern w:val="2"/>
                <w:sz w:val="28"/>
                <w:szCs w:val="24"/>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12</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生活垃圾“互联网+”监管技术体系，加强生活垃圾管理平台应用管理。</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ascii="Times New Roman" w:hAnsi="Times New Roman" w:eastAsia="黑体" w:cs="黑体"/>
                <w:color w:val="auto"/>
                <w:szCs w:val="21"/>
              </w:rPr>
              <w:t>充分应用现有</w:t>
            </w:r>
            <w:r>
              <w:rPr>
                <w:rFonts w:hint="eastAsia" w:ascii="Times New Roman" w:hAnsi="Times New Roman" w:eastAsia="黑体" w:cs="黑体"/>
                <w:color w:val="auto"/>
                <w:szCs w:val="21"/>
              </w:rPr>
              <w:t>生活垃圾管理平台应用管理，结合实际，优化管理平台。</w:t>
            </w:r>
          </w:p>
        </w:tc>
        <w:tc>
          <w:tcPr>
            <w:tcW w:w="706" w:type="pct"/>
            <w:noWrap w:val="0"/>
            <w:vAlign w:val="center"/>
          </w:tcPr>
          <w:p>
            <w:pPr>
              <w:adjustRightInd w:val="0"/>
              <w:snapToGrid w:val="0"/>
              <w:jc w:val="center"/>
              <w:rPr>
                <w:rFonts w:ascii="Times New Roman" w:hAnsi="Times New Roman" w:eastAsia="仿宋_GB2312" w:cs="Times New Roman"/>
                <w:color w:val="auto"/>
                <w:kern w:val="2"/>
                <w:sz w:val="28"/>
                <w:szCs w:val="24"/>
                <w:lang w:val="en-US" w:eastAsia="zh-CN" w:bidi="ar-SA"/>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城管局</w:t>
            </w:r>
          </w:p>
        </w:tc>
        <w:tc>
          <w:tcPr>
            <w:tcW w:w="535" w:type="pct"/>
            <w:noWrap w:val="0"/>
            <w:vAlign w:val="center"/>
          </w:tcPr>
          <w:p>
            <w:pPr>
              <w:adjustRightInd w:val="0"/>
              <w:snapToGrid w:val="0"/>
              <w:jc w:val="center"/>
              <w:rPr>
                <w:rFonts w:ascii="Times New Roman" w:hAnsi="Times New Roman" w:eastAsia="仿宋_GB2312" w:cs="Times New Roman"/>
                <w:color w:val="auto"/>
                <w:kern w:val="2"/>
                <w:sz w:val="28"/>
                <w:szCs w:val="24"/>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13</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指导相关企业完成清洁生产审核评估</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严格实施强制性清洁生产审核，积极引导固废产生量大、环境风险高的其他企业自觉自愿开展审核，全</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清洁生产审核通过率达到100%。</w:t>
            </w:r>
          </w:p>
        </w:tc>
        <w:tc>
          <w:tcPr>
            <w:tcW w:w="706" w:type="pct"/>
            <w:noWrap w:val="0"/>
            <w:vAlign w:val="center"/>
          </w:tcPr>
          <w:p>
            <w:pPr>
              <w:adjustRightInd w:val="0"/>
              <w:snapToGrid w:val="0"/>
              <w:jc w:val="center"/>
              <w:rPr>
                <w:rFonts w:ascii="Times New Roman" w:hAnsi="Times New Roman" w:eastAsia="仿宋_GB2312" w:cs="Times New Roman"/>
                <w:color w:val="auto"/>
                <w:kern w:val="2"/>
                <w:sz w:val="28"/>
                <w:szCs w:val="24"/>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仿宋_GB2312" w:cs="Times New Roman"/>
                <w:color w:val="auto"/>
                <w:kern w:val="2"/>
                <w:sz w:val="28"/>
                <w:szCs w:val="24"/>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14</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建立完善一般工业固体废物监管体系</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023</w:t>
            </w:r>
            <w:r>
              <w:rPr>
                <w:rFonts w:hint="eastAsia" w:ascii="Times New Roman" w:hAnsi="Times New Roman" w:eastAsia="黑体" w:cs="黑体"/>
                <w:color w:val="auto"/>
                <w:szCs w:val="21"/>
              </w:rPr>
              <w:t>年年底前，建立常态化制度，</w:t>
            </w:r>
            <w:r>
              <w:rPr>
                <w:rFonts w:ascii="Times New Roman" w:hAnsi="Times New Roman" w:eastAsia="黑体" w:cs="黑体"/>
                <w:color w:val="auto"/>
                <w:szCs w:val="21"/>
              </w:rPr>
              <w:t>督促企业定期向所在地生态环境主管部门</w:t>
            </w:r>
            <w:r>
              <w:rPr>
                <w:rFonts w:hint="eastAsia" w:ascii="Times New Roman" w:hAnsi="Times New Roman" w:eastAsia="黑体" w:cs="黑体"/>
                <w:color w:val="auto"/>
                <w:szCs w:val="21"/>
              </w:rPr>
              <w:t>、工业和信息化主管部门</w:t>
            </w:r>
            <w:r>
              <w:rPr>
                <w:rFonts w:ascii="Times New Roman" w:hAnsi="Times New Roman" w:eastAsia="黑体" w:cs="黑体"/>
                <w:color w:val="auto"/>
                <w:szCs w:val="21"/>
              </w:rPr>
              <w:t>提供</w:t>
            </w:r>
            <w:r>
              <w:rPr>
                <w:rFonts w:hint="eastAsia" w:ascii="Times New Roman" w:hAnsi="Times New Roman" w:eastAsia="黑体" w:cs="黑体"/>
                <w:color w:val="auto"/>
                <w:szCs w:val="21"/>
              </w:rPr>
              <w:t>一般</w:t>
            </w:r>
            <w:r>
              <w:rPr>
                <w:rFonts w:ascii="Times New Roman" w:hAnsi="Times New Roman" w:eastAsia="黑体" w:cs="黑体"/>
                <w:color w:val="auto"/>
                <w:szCs w:val="21"/>
              </w:rPr>
              <w:t>工业固体废物的种类、数量、流向、贮存、利用、处置等有关资料，以及减少工业固体废物产生、促进综合利用的具体措施。</w:t>
            </w:r>
          </w:p>
        </w:tc>
        <w:tc>
          <w:tcPr>
            <w:tcW w:w="706"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工业和信息化局</w:t>
            </w:r>
            <w:r>
              <w:rPr>
                <w:rFonts w:hint="eastAsia" w:ascii="Times New Roman" w:hAnsi="Times New Roman" w:eastAsia="黑体" w:cs="黑体"/>
                <w:color w:val="auto"/>
                <w:szCs w:val="21"/>
                <w:lang w:eastAsia="zh-CN"/>
              </w:rPr>
              <w:t>市生态环境局莱芜分局</w:t>
            </w:r>
          </w:p>
          <w:p>
            <w:pPr>
              <w:adjustRightInd w:val="0"/>
              <w:snapToGrid w:val="0"/>
              <w:jc w:val="center"/>
              <w:rPr>
                <w:rFonts w:ascii="Times New Roman" w:hAnsi="Times New Roman" w:eastAsia="黑体" w:cs="黑体"/>
                <w:color w:val="auto"/>
                <w:kern w:val="2"/>
                <w:sz w:val="21"/>
                <w:szCs w:val="21"/>
                <w:lang w:val="en-US" w:eastAsia="zh-CN" w:bidi="ar-SA"/>
              </w:rPr>
            </w:pP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15</w:t>
            </w:r>
          </w:p>
        </w:tc>
        <w:tc>
          <w:tcPr>
            <w:tcW w:w="1353"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rPr>
              <w:t>严格危险废物项目环境影响评价审批</w:t>
            </w:r>
          </w:p>
        </w:tc>
        <w:tc>
          <w:tcPr>
            <w:tcW w:w="2129"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rPr>
              <w:t>新建、改建、扩建涉危险废物建设项目，严格落实建设项目环境影响评价要求，从严审批危险废物产生量大、本市及周边区域无配套利用处置能力的建设项目。将已批复的重点行业涉危险废物建设项目环境影响评价文件纳入技术复核抽查范围。</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w:t>
            </w:r>
            <w:r>
              <w:rPr>
                <w:rFonts w:ascii="Times New Roman" w:hAnsi="Times New Roman" w:eastAsia="黑体" w:cs="黑体"/>
                <w:color w:val="auto"/>
                <w:szCs w:val="21"/>
              </w:rPr>
              <w:t>6</w:t>
            </w:r>
          </w:p>
        </w:tc>
        <w:tc>
          <w:tcPr>
            <w:tcW w:w="1353" w:type="pct"/>
            <w:noWrap w:val="0"/>
            <w:vAlign w:val="center"/>
          </w:tcPr>
          <w:p>
            <w:pPr>
              <w:adjustRightInd w:val="0"/>
              <w:snapToGrid w:val="0"/>
              <w:jc w:val="left"/>
              <w:rPr>
                <w:rFonts w:hint="eastAsia"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推动小微产废单位全部纳入监管</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充分发挥危险废物专业收集企业作用，做好小微企业、第三产业、科研机构、学校等危险废物收集转运，督促产废单位和收集单位及时收集转运。</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w:t>
            </w:r>
            <w:r>
              <w:rPr>
                <w:rFonts w:ascii="Times New Roman" w:hAnsi="Times New Roman" w:eastAsia="黑体" w:cs="黑体"/>
                <w:color w:val="auto"/>
                <w:szCs w:val="21"/>
              </w:rPr>
              <w:t>7</w:t>
            </w:r>
          </w:p>
        </w:tc>
        <w:tc>
          <w:tcPr>
            <w:tcW w:w="1353" w:type="pct"/>
            <w:noWrap w:val="0"/>
            <w:vAlign w:val="center"/>
          </w:tcPr>
          <w:p>
            <w:pPr>
              <w:adjustRightInd w:val="0"/>
              <w:snapToGrid w:val="0"/>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统筹规划区域性收集网点和贮存设施</w:t>
            </w:r>
          </w:p>
        </w:tc>
        <w:tc>
          <w:tcPr>
            <w:tcW w:w="2129" w:type="pct"/>
            <w:noWrap w:val="0"/>
            <w:vAlign w:val="top"/>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根据全</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危险废物收集转运需求做好统筹规划，支持危险废物专业收集转运和利用处置单位建设区域性收集网点和贮存设施。</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w:t>
            </w:r>
            <w:r>
              <w:rPr>
                <w:rFonts w:ascii="Times New Roman" w:hAnsi="Times New Roman" w:eastAsia="黑体" w:cs="黑体"/>
                <w:color w:val="auto"/>
                <w:szCs w:val="21"/>
              </w:rPr>
              <w:t>8</w:t>
            </w:r>
          </w:p>
        </w:tc>
        <w:tc>
          <w:tcPr>
            <w:tcW w:w="1353" w:type="pct"/>
            <w:noWrap w:val="0"/>
            <w:vAlign w:val="center"/>
          </w:tcPr>
          <w:p>
            <w:pPr>
              <w:adjustRightInd w:val="0"/>
              <w:snapToGrid w:val="0"/>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推广小微产废单位危废收集转运新模式</w:t>
            </w:r>
          </w:p>
        </w:tc>
        <w:tc>
          <w:tcPr>
            <w:tcW w:w="2129" w:type="pct"/>
            <w:noWrap w:val="0"/>
            <w:vAlign w:val="top"/>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对同类产废单位较为集中的区域，设置暂存间，采用“集中暂存、分别管理”模式进行收集转运；对分散的产废单位，探索开展危废“公交式”收运，确保小微产废单位危险废物及时收集转运，实现规范化管理。</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w:t>
            </w:r>
            <w:r>
              <w:rPr>
                <w:rFonts w:ascii="Times New Roman" w:hAnsi="Times New Roman" w:eastAsia="黑体" w:cs="黑体"/>
                <w:color w:val="auto"/>
                <w:szCs w:val="21"/>
              </w:rPr>
              <w:t>9</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开展危险废物“点对点”定向利用许可证豁免管理</w:t>
            </w:r>
          </w:p>
        </w:tc>
        <w:tc>
          <w:tcPr>
            <w:tcW w:w="2129"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rPr>
              <w:t>在</w:t>
            </w:r>
            <w:r>
              <w:rPr>
                <w:rFonts w:hint="eastAsia" w:ascii="Times New Roman" w:hAnsi="Times New Roman" w:eastAsia="黑体" w:cs="黑体"/>
                <w:color w:val="auto"/>
                <w:szCs w:val="21"/>
                <w:lang w:eastAsia="zh-CN"/>
              </w:rPr>
              <w:t>环境</w:t>
            </w:r>
            <w:r>
              <w:rPr>
                <w:rFonts w:hint="eastAsia" w:ascii="Times New Roman" w:hAnsi="Times New Roman" w:eastAsia="黑体" w:cs="黑体"/>
                <w:color w:val="auto"/>
                <w:szCs w:val="21"/>
              </w:rPr>
              <w:t>风险可控的前提下</w:t>
            </w:r>
            <w:r>
              <w:rPr>
                <w:rFonts w:hint="eastAsia" w:ascii="Times New Roman" w:hAnsi="Times New Roman" w:eastAsia="黑体" w:cs="黑体"/>
                <w:color w:val="auto"/>
                <w:szCs w:val="21"/>
                <w:lang w:eastAsia="zh-CN"/>
              </w:rPr>
              <w:t>，探索开展</w:t>
            </w:r>
            <w:r>
              <w:rPr>
                <w:rFonts w:hint="eastAsia" w:ascii="Times New Roman" w:hAnsi="Times New Roman" w:eastAsia="黑体" w:cs="黑体"/>
                <w:color w:val="auto"/>
                <w:szCs w:val="21"/>
              </w:rPr>
              <w:t>企业废弃包装物、废弃物料等危险废物“点对点”定向综合利用</w:t>
            </w:r>
            <w:r>
              <w:rPr>
                <w:rFonts w:hint="eastAsia" w:ascii="Times New Roman" w:hAnsi="Times New Roman" w:eastAsia="黑体" w:cs="黑体"/>
                <w:color w:val="auto"/>
                <w:szCs w:val="21"/>
                <w:lang w:eastAsia="zh-CN"/>
              </w:rPr>
              <w:t>许可证豁免管理。</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w:t>
            </w:r>
            <w:r>
              <w:rPr>
                <w:rFonts w:ascii="Times New Roman" w:hAnsi="Times New Roman" w:eastAsia="黑体" w:cs="黑体"/>
                <w:color w:val="auto"/>
                <w:szCs w:val="21"/>
              </w:rPr>
              <w:t>0</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建立医疗机构医废收运巡查机制</w:t>
            </w:r>
          </w:p>
        </w:tc>
        <w:tc>
          <w:tcPr>
            <w:tcW w:w="2129"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rPr>
              <w:t>建立医疗机构医废收运巡查机制，以农村地区小型医疗机构为重点，建立巡查机制加大巡查力度，确保及时清运并依法进行集中处置。</w:t>
            </w:r>
          </w:p>
        </w:tc>
        <w:tc>
          <w:tcPr>
            <w:tcW w:w="706" w:type="pct"/>
            <w:noWrap w:val="0"/>
            <w:vAlign w:val="center"/>
          </w:tcPr>
          <w:p>
            <w:pPr>
              <w:adjustRightInd w:val="0"/>
              <w:snapToGrid w:val="0"/>
              <w:jc w:val="cente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区卫生健康局</w:t>
            </w:r>
          </w:p>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3"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w:t>
            </w:r>
            <w:r>
              <w:rPr>
                <w:rFonts w:ascii="Times New Roman" w:hAnsi="Times New Roman" w:eastAsia="黑体" w:cs="黑体"/>
                <w:color w:val="auto"/>
                <w:szCs w:val="21"/>
              </w:rPr>
              <w:t>1</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开展打击危险废物环境违法行为专项行动</w:t>
            </w:r>
          </w:p>
        </w:tc>
        <w:tc>
          <w:tcPr>
            <w:tcW w:w="2129" w:type="pct"/>
            <w:noWrap w:val="0"/>
            <w:vAlign w:val="center"/>
          </w:tcPr>
          <w:p>
            <w:pPr>
              <w:adjustRightInd w:val="0"/>
              <w:snapToGrid w:val="0"/>
              <w:jc w:val="left"/>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Cs w:val="21"/>
              </w:rPr>
              <w:t>开展多部门联合执法，以医疗废物、废酸、废铅蓄电池、废矿物油等为重点，严厉打击非法收集、贮存、转移、利用、处置危险废物等环境违法犯罪行为。</w:t>
            </w:r>
          </w:p>
        </w:tc>
        <w:tc>
          <w:tcPr>
            <w:tcW w:w="706" w:type="pct"/>
            <w:noWrap w:val="0"/>
            <w:vAlign w:val="center"/>
          </w:tcPr>
          <w:p>
            <w:pPr>
              <w:adjustRightInd w:val="0"/>
              <w:snapToGrid w:val="0"/>
              <w:jc w:val="cente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区交通运输局</w:t>
            </w:r>
          </w:p>
          <w:p>
            <w:pPr>
              <w:adjustRightInd w:val="0"/>
              <w:snapToGrid w:val="0"/>
              <w:jc w:val="cente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区卫生健康局</w:t>
            </w:r>
          </w:p>
          <w:p>
            <w:pPr>
              <w:adjustRightInd w:val="0"/>
              <w:snapToGrid w:val="0"/>
              <w:jc w:val="cente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市公安局莱芜区分局</w:t>
            </w:r>
          </w:p>
          <w:p>
            <w:pPr>
              <w:adjustRightInd w:val="0"/>
              <w:snapToGrid w:val="0"/>
              <w:jc w:val="center"/>
              <w:rPr>
                <w:rFonts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bl>
    <w:p>
      <w:pPr>
        <w:adjustRightInd w:val="0"/>
        <w:snapToGrid w:val="0"/>
        <w:rPr>
          <w:rFonts w:ascii="Times New Roman" w:hAnsi="Times New Roman" w:eastAsia="仿宋_GB2312"/>
          <w:color w:val="auto"/>
          <w:sz w:val="28"/>
        </w:rPr>
      </w:pPr>
    </w:p>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lang w:val="en-US" w:eastAsia="zh-CN"/>
        </w:rPr>
      </w:pPr>
    </w:p>
    <w:sectPr>
      <w:headerReference r:id="rId10" w:type="default"/>
      <w:footerReference r:id="rId11" w:type="default"/>
      <w:pgSz w:w="16838" w:h="11906" w:orient="landscape"/>
      <w:pgMar w:top="1644" w:right="1984" w:bottom="1474"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三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101" w:y="790"/>
      <w:rPr>
        <w:rStyle w:val="12"/>
        <w:rFonts w:hint="eastAsia" w:ascii="方正书宋_GBK" w:eastAsia="方正书宋_GBK"/>
        <w:sz w:val="28"/>
        <w:szCs w:val="28"/>
      </w:rPr>
    </w:pPr>
    <w:r>
      <w:rPr>
        <w:rStyle w:val="12"/>
        <w:rFonts w:hint="eastAsia" w:ascii="方正书宋_GBK" w:eastAsia="方正书宋_GBK"/>
        <w:sz w:val="28"/>
        <w:szCs w:val="28"/>
      </w:rPr>
      <w:t xml:space="preserve">— </w:t>
    </w:r>
    <w:r>
      <w:rPr>
        <w:rStyle w:val="12"/>
        <w:rFonts w:hint="eastAsia" w:ascii="方正书宋_GBK" w:eastAsia="方正书宋_GBK"/>
        <w:sz w:val="28"/>
        <w:szCs w:val="28"/>
      </w:rPr>
      <w:fldChar w:fldCharType="begin"/>
    </w:r>
    <w:r>
      <w:rPr>
        <w:rStyle w:val="12"/>
        <w:rFonts w:hint="eastAsia" w:ascii="方正书宋_GBK" w:eastAsia="方正书宋_GBK"/>
        <w:sz w:val="28"/>
        <w:szCs w:val="28"/>
      </w:rPr>
      <w:instrText xml:space="preserve">PAGE  </w:instrText>
    </w:r>
    <w:r>
      <w:rPr>
        <w:rStyle w:val="12"/>
        <w:rFonts w:hint="eastAsia" w:ascii="方正书宋_GBK" w:eastAsia="方正书宋_GBK"/>
        <w:sz w:val="28"/>
        <w:szCs w:val="28"/>
      </w:rPr>
      <w:fldChar w:fldCharType="separate"/>
    </w:r>
    <w:r>
      <w:rPr>
        <w:rStyle w:val="12"/>
        <w:rFonts w:ascii="方正书宋_GBK" w:eastAsia="方正书宋_GBK"/>
        <w:sz w:val="28"/>
        <w:szCs w:val="28"/>
      </w:rPr>
      <w:t>36</w:t>
    </w:r>
    <w:r>
      <w:rPr>
        <w:rStyle w:val="12"/>
        <w:rFonts w:hint="eastAsia" w:ascii="方正书宋_GBK" w:eastAsia="方正书宋_GBK"/>
        <w:sz w:val="28"/>
        <w:szCs w:val="28"/>
      </w:rPr>
      <w:fldChar w:fldCharType="end"/>
    </w:r>
    <w:r>
      <w:rPr>
        <w:rStyle w:val="12"/>
        <w:rFonts w:hint="eastAsia" w:ascii="方正书宋_GBK" w:eastAsia="方正书宋_GBK"/>
        <w:sz w:val="28"/>
        <w:szCs w:val="28"/>
      </w:rPr>
      <w:t xml:space="preserve"> —</w:t>
    </w:r>
  </w:p>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101" w:y="790"/>
      <w:rPr>
        <w:rStyle w:val="12"/>
        <w:rFonts w:hint="eastAsia" w:ascii="方正书宋_GBK" w:eastAsia="方正书宋_GBK"/>
        <w:sz w:val="28"/>
        <w:szCs w:val="28"/>
      </w:rPr>
    </w:pPr>
    <w:r>
      <w:rPr>
        <w:rStyle w:val="12"/>
        <w:rFonts w:hint="eastAsia" w:ascii="方正书宋_GBK" w:eastAsia="方正书宋_GBK"/>
        <w:sz w:val="28"/>
        <w:szCs w:val="28"/>
      </w:rPr>
      <w:t xml:space="preserve">— </w:t>
    </w:r>
    <w:r>
      <w:rPr>
        <w:rStyle w:val="12"/>
        <w:rFonts w:hint="eastAsia" w:ascii="方正书宋_GBK" w:eastAsia="方正书宋_GBK"/>
        <w:sz w:val="28"/>
        <w:szCs w:val="28"/>
      </w:rPr>
      <w:fldChar w:fldCharType="begin"/>
    </w:r>
    <w:r>
      <w:rPr>
        <w:rStyle w:val="12"/>
        <w:rFonts w:hint="eastAsia" w:ascii="方正书宋_GBK" w:eastAsia="方正书宋_GBK"/>
        <w:sz w:val="28"/>
        <w:szCs w:val="28"/>
      </w:rPr>
      <w:instrText xml:space="preserve">PAGE  </w:instrText>
    </w:r>
    <w:r>
      <w:rPr>
        <w:rStyle w:val="12"/>
        <w:rFonts w:hint="eastAsia" w:ascii="方正书宋_GBK" w:eastAsia="方正书宋_GBK"/>
        <w:sz w:val="28"/>
        <w:szCs w:val="28"/>
      </w:rPr>
      <w:fldChar w:fldCharType="separate"/>
    </w:r>
    <w:r>
      <w:rPr>
        <w:rStyle w:val="12"/>
        <w:rFonts w:ascii="方正书宋_GBK" w:eastAsia="方正书宋_GBK"/>
        <w:sz w:val="28"/>
        <w:szCs w:val="28"/>
      </w:rPr>
      <w:t>36</w:t>
    </w:r>
    <w:r>
      <w:rPr>
        <w:rStyle w:val="12"/>
        <w:rFonts w:hint="eastAsia" w:ascii="方正书宋_GBK" w:eastAsia="方正书宋_GBK"/>
        <w:sz w:val="28"/>
        <w:szCs w:val="28"/>
      </w:rPr>
      <w:fldChar w:fldCharType="end"/>
    </w:r>
    <w:r>
      <w:rPr>
        <w:rStyle w:val="12"/>
        <w:rFonts w:hint="eastAsia" w:ascii="方正书宋_GBK" w:eastAsia="方正书宋_GBK"/>
        <w:sz w:val="28"/>
        <w:szCs w:val="28"/>
      </w:rPr>
      <w:t xml:space="preserve"> —</w:t>
    </w:r>
  </w:p>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MmY1OGQ3M2IxZmI3ZTY0NTJjZDZlYzkxOTJjOTgifQ=="/>
  </w:docVars>
  <w:rsids>
    <w:rsidRoot w:val="00000000"/>
    <w:rsid w:val="008B1ED9"/>
    <w:rsid w:val="009E56A1"/>
    <w:rsid w:val="0130005A"/>
    <w:rsid w:val="01472481"/>
    <w:rsid w:val="01A6576F"/>
    <w:rsid w:val="033E3D69"/>
    <w:rsid w:val="036446D4"/>
    <w:rsid w:val="038C496D"/>
    <w:rsid w:val="03CE4092"/>
    <w:rsid w:val="0405748B"/>
    <w:rsid w:val="042949B5"/>
    <w:rsid w:val="042B79F4"/>
    <w:rsid w:val="05CD4D78"/>
    <w:rsid w:val="06E5119A"/>
    <w:rsid w:val="073A1CDE"/>
    <w:rsid w:val="074E55F0"/>
    <w:rsid w:val="07902C7F"/>
    <w:rsid w:val="081A4F05"/>
    <w:rsid w:val="08513E84"/>
    <w:rsid w:val="08D74D81"/>
    <w:rsid w:val="09A97721"/>
    <w:rsid w:val="0C974F1C"/>
    <w:rsid w:val="0F1A028E"/>
    <w:rsid w:val="107A5240"/>
    <w:rsid w:val="10D43329"/>
    <w:rsid w:val="11F748B7"/>
    <w:rsid w:val="12090AB5"/>
    <w:rsid w:val="127E0301"/>
    <w:rsid w:val="136A2E67"/>
    <w:rsid w:val="139942B5"/>
    <w:rsid w:val="13B567D8"/>
    <w:rsid w:val="14A025F7"/>
    <w:rsid w:val="14B922F8"/>
    <w:rsid w:val="15FF2869"/>
    <w:rsid w:val="17162C2F"/>
    <w:rsid w:val="18601C44"/>
    <w:rsid w:val="1A9F3D91"/>
    <w:rsid w:val="1AEE4FCC"/>
    <w:rsid w:val="1CA05B4B"/>
    <w:rsid w:val="1CCF64DA"/>
    <w:rsid w:val="1CF540E9"/>
    <w:rsid w:val="1D5E4066"/>
    <w:rsid w:val="1DF76977"/>
    <w:rsid w:val="1F2151C5"/>
    <w:rsid w:val="1F5A700D"/>
    <w:rsid w:val="1FE312CB"/>
    <w:rsid w:val="2186411B"/>
    <w:rsid w:val="219F4623"/>
    <w:rsid w:val="225C0E26"/>
    <w:rsid w:val="22E325BA"/>
    <w:rsid w:val="23636F06"/>
    <w:rsid w:val="23F465F1"/>
    <w:rsid w:val="25032C96"/>
    <w:rsid w:val="25B16263"/>
    <w:rsid w:val="26030FFB"/>
    <w:rsid w:val="27075144"/>
    <w:rsid w:val="289E69D0"/>
    <w:rsid w:val="28FB201F"/>
    <w:rsid w:val="29C64C71"/>
    <w:rsid w:val="2AF9775B"/>
    <w:rsid w:val="2B806EDE"/>
    <w:rsid w:val="2B960845"/>
    <w:rsid w:val="2BA22D07"/>
    <w:rsid w:val="2C0C5E35"/>
    <w:rsid w:val="2C306071"/>
    <w:rsid w:val="2D8B1BED"/>
    <w:rsid w:val="2E842ED9"/>
    <w:rsid w:val="2E8850B6"/>
    <w:rsid w:val="2EE00EB4"/>
    <w:rsid w:val="30A31881"/>
    <w:rsid w:val="3123652A"/>
    <w:rsid w:val="313C50E1"/>
    <w:rsid w:val="321C6473"/>
    <w:rsid w:val="324B5D54"/>
    <w:rsid w:val="342F1F88"/>
    <w:rsid w:val="351E2DF4"/>
    <w:rsid w:val="35475C92"/>
    <w:rsid w:val="3838625A"/>
    <w:rsid w:val="393444F6"/>
    <w:rsid w:val="395F5E72"/>
    <w:rsid w:val="3AA50AA5"/>
    <w:rsid w:val="3ACA050B"/>
    <w:rsid w:val="3F2E70A7"/>
    <w:rsid w:val="3F5D3C3A"/>
    <w:rsid w:val="400C205E"/>
    <w:rsid w:val="417E7512"/>
    <w:rsid w:val="42975304"/>
    <w:rsid w:val="429818F3"/>
    <w:rsid w:val="42EB101F"/>
    <w:rsid w:val="43421755"/>
    <w:rsid w:val="4369289F"/>
    <w:rsid w:val="43901D28"/>
    <w:rsid w:val="43F95CCA"/>
    <w:rsid w:val="4433244A"/>
    <w:rsid w:val="453B78BB"/>
    <w:rsid w:val="457810EA"/>
    <w:rsid w:val="459F4086"/>
    <w:rsid w:val="483620F4"/>
    <w:rsid w:val="49134C6E"/>
    <w:rsid w:val="4A7842BA"/>
    <w:rsid w:val="4BD9629E"/>
    <w:rsid w:val="4C1B26EF"/>
    <w:rsid w:val="4C2D2CBA"/>
    <w:rsid w:val="4CC146FB"/>
    <w:rsid w:val="4D2638B8"/>
    <w:rsid w:val="4DFB2945"/>
    <w:rsid w:val="4EFE032C"/>
    <w:rsid w:val="4FA93156"/>
    <w:rsid w:val="4FE66E49"/>
    <w:rsid w:val="4FFD2F37"/>
    <w:rsid w:val="50001709"/>
    <w:rsid w:val="509C7DFC"/>
    <w:rsid w:val="513F7105"/>
    <w:rsid w:val="520C2321"/>
    <w:rsid w:val="523A25BD"/>
    <w:rsid w:val="527F567A"/>
    <w:rsid w:val="52B230DF"/>
    <w:rsid w:val="5330338D"/>
    <w:rsid w:val="53980081"/>
    <w:rsid w:val="53C84139"/>
    <w:rsid w:val="55674F5D"/>
    <w:rsid w:val="55A504E4"/>
    <w:rsid w:val="55BD59AD"/>
    <w:rsid w:val="56A92B35"/>
    <w:rsid w:val="5773484C"/>
    <w:rsid w:val="58351BEF"/>
    <w:rsid w:val="596A6A50"/>
    <w:rsid w:val="5B2B32C9"/>
    <w:rsid w:val="5B38668D"/>
    <w:rsid w:val="5B7C0E28"/>
    <w:rsid w:val="5C533362"/>
    <w:rsid w:val="5C9F7786"/>
    <w:rsid w:val="5DF37D17"/>
    <w:rsid w:val="5E947AA4"/>
    <w:rsid w:val="5F981B21"/>
    <w:rsid w:val="5FD36F84"/>
    <w:rsid w:val="60FA1925"/>
    <w:rsid w:val="6148740D"/>
    <w:rsid w:val="617B2468"/>
    <w:rsid w:val="62FE3EE5"/>
    <w:rsid w:val="650A54F3"/>
    <w:rsid w:val="650B07B2"/>
    <w:rsid w:val="66AD6C48"/>
    <w:rsid w:val="66C001A4"/>
    <w:rsid w:val="66CF4630"/>
    <w:rsid w:val="670A38BA"/>
    <w:rsid w:val="683A6906"/>
    <w:rsid w:val="68AB69D7"/>
    <w:rsid w:val="690C7895"/>
    <w:rsid w:val="692F0704"/>
    <w:rsid w:val="6A290006"/>
    <w:rsid w:val="6B791B41"/>
    <w:rsid w:val="6BAF2DC2"/>
    <w:rsid w:val="6CDE7953"/>
    <w:rsid w:val="6CFF6FE9"/>
    <w:rsid w:val="6D2C3A87"/>
    <w:rsid w:val="6D5269CD"/>
    <w:rsid w:val="6E810905"/>
    <w:rsid w:val="6F5376EE"/>
    <w:rsid w:val="6FCD4687"/>
    <w:rsid w:val="70F677F1"/>
    <w:rsid w:val="71130E13"/>
    <w:rsid w:val="71A73FED"/>
    <w:rsid w:val="71B267D7"/>
    <w:rsid w:val="7252553C"/>
    <w:rsid w:val="72604CD6"/>
    <w:rsid w:val="72AD7C75"/>
    <w:rsid w:val="73A127F0"/>
    <w:rsid w:val="73C76D21"/>
    <w:rsid w:val="76AE6010"/>
    <w:rsid w:val="76F47128"/>
    <w:rsid w:val="77A96E95"/>
    <w:rsid w:val="78E55801"/>
    <w:rsid w:val="78F7062A"/>
    <w:rsid w:val="79AD7F63"/>
    <w:rsid w:val="7D6C22D2"/>
    <w:rsid w:val="7D7D498E"/>
    <w:rsid w:val="7EC81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header"/>
    <w:basedOn w:val="1"/>
    <w:next w:val="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er"/>
    <w:basedOn w:val="1"/>
    <w:next w:val="1"/>
    <w:unhideWhenUsed/>
    <w:qFormat/>
    <w:uiPriority w:val="99"/>
    <w:pPr>
      <w:tabs>
        <w:tab w:val="center" w:pos="4153"/>
        <w:tab w:val="right" w:pos="8306"/>
      </w:tabs>
      <w:snapToGrid w:val="0"/>
      <w:jc w:val="left"/>
    </w:pPr>
    <w:rPr>
      <w:sz w:val="18"/>
      <w:szCs w:val="18"/>
    </w:rPr>
  </w:style>
  <w:style w:type="paragraph" w:styleId="6">
    <w:name w:val="toc 1"/>
    <w:basedOn w:val="1"/>
    <w:next w:val="1"/>
    <w:unhideWhenUsed/>
    <w:qFormat/>
    <w:uiPriority w:val="39"/>
    <w:rPr>
      <w:rFonts w:ascii="Times New Roman" w:hAnsi="Times New Roma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17"/>
    <w:qFormat/>
    <w:uiPriority w:val="0"/>
    <w:rPr>
      <w:rFonts w:ascii="Calibri" w:hAnsi="Calibri"/>
    </w:rPr>
  </w:style>
  <w:style w:type="character" w:customStyle="1" w:styleId="15">
    <w:name w:val="16"/>
    <w:qFormat/>
    <w:uiPriority w:val="0"/>
    <w:rPr>
      <w:rFonts w:ascii="仿宋_GB2312" w:eastAsia="仿宋_GB2312"/>
      <w:b/>
    </w:rPr>
  </w:style>
  <w:style w:type="character" w:customStyle="1" w:styleId="16">
    <w:name w:val="15"/>
    <w:basedOn w:val="10"/>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19530</Words>
  <Characters>20733</Characters>
  <Lines>0</Lines>
  <Paragraphs>0</Paragraphs>
  <TotalTime>4</TotalTime>
  <ScaleCrop>false</ScaleCrop>
  <LinksUpToDate>false</LinksUpToDate>
  <CharactersWithSpaces>20777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2022-11-16T05:18:00Z</dcterms:created>
  <dc:creator>Administrator</dc:creator>
  <cp:lastModifiedBy>Administrator</cp:lastModifiedBy>
  <cp:lastPrinted>2023-03-31T02:19:00Z</cp:lastPrinted>
  <dcterms:modified xsi:type="dcterms:W3CDTF">2024-06-20T07:29:06Z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380F3402F55D453EAF32A79B00CEAE08</vt:lpwstr>
  </property>
</Properties>
</file>