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emf" ContentType="image/x-emf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ind w:firstLine="0" w:firstLineChars="0"/>
        <w:jc w:val="center"/>
        <w:rPr>
          <w:rFonts w:ascii="方正小标宋简体" w:hAnsi="华文仿宋" w:eastAsia="方正小标宋简体"/>
          <w:color w:val="000000" w:themeColor="text1"/>
          <w:sz w:val="40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华文仿宋" w:eastAsia="方正小标宋简体"/>
          <w:color w:val="000000" w:themeColor="text1"/>
          <w:sz w:val="40"/>
          <w:szCs w:val="44"/>
          <w14:textFill>
            <w14:solidFill>
              <w14:schemeClr w14:val="tx1"/>
            </w14:solidFill>
          </w14:textFill>
        </w:rPr>
        <w:t>莱芜区“十四五”综合交通运输发展规划</w:t>
      </w:r>
    </w:p>
    <w:p>
      <w:pPr>
        <w:ind w:firstLine="0" w:firstLineChars="0"/>
        <w:jc w:val="center"/>
        <w:rPr>
          <w:rFonts w:ascii="方正小标宋简体" w:hAnsi="华文仿宋" w:eastAsia="方正小标宋简体"/>
          <w:color w:val="000000" w:themeColor="text1"/>
          <w:sz w:val="40"/>
          <w:szCs w:val="44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华文仿宋" w:eastAsia="方正小标宋简体"/>
          <w:color w:val="000000" w:themeColor="text1"/>
          <w:sz w:val="40"/>
          <w:szCs w:val="44"/>
          <w14:textFill>
            <w14:solidFill>
              <w14:schemeClr w14:val="tx1"/>
            </w14:solidFill>
          </w14:textFill>
        </w:rPr>
        <w:t>（征求意见稿）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为构建城市综合交通运输体系，提升全区综合交通能力，支撑莱芜区省会城市副中心的发展，等高对接济南中心城区，统筹城市与交通发展，科学配置国土空间与交通资源，有效缓解城市交通拥堵问题，制定本规划。</w:t>
      </w:r>
    </w:p>
    <w:p>
      <w:pPr>
        <w:pStyle w:val="2"/>
        <w:spacing w:before="156" w:after="156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一、总体要求</w:t>
      </w:r>
    </w:p>
    <w:p>
      <w:pPr>
        <w:pStyle w:val="3"/>
        <w:ind w:left="567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（一）指导思想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以习近平新时代中国特色社会主义思想为指导，深入贯彻党的二十大和二十届历次全会精神，主动融入和服务黄河流域生态保护和高质量发展战略，锚定“走在前列、全面开创”“三个走在前”总遵循、总定位、总航标，对标强省会建设新目标，立足新发展阶段，突出互联互通的发展方向和人民满意的发展目标，完整、准确、全面贯彻新发展理念，以深化供给侧结构性改革为主线，以改革创新为根本动力，落实交通强国建设部署，共建交通强国山东示范区，全面提升设施供给能力、运输服务能力、行业治理能力，推动交通高质量发展，助力莱芜打造省会城市副中心和黄河流域先进制造业中心。</w:t>
      </w:r>
    </w:p>
    <w:p>
      <w:pPr>
        <w:pStyle w:val="3"/>
        <w:ind w:left="567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（二）规划依据</w:t>
      </w:r>
    </w:p>
    <w:p>
      <w:pPr>
        <w:pStyle w:val="36"/>
        <w:numPr>
          <w:ilvl w:val="0"/>
          <w:numId w:val="1"/>
        </w:numPr>
        <w:ind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《黄河流域生态保护和高质量发展规划纲要》</w:t>
      </w:r>
    </w:p>
    <w:p>
      <w:pPr>
        <w:pStyle w:val="36"/>
        <w:numPr>
          <w:ilvl w:val="0"/>
          <w:numId w:val="1"/>
        </w:numPr>
        <w:ind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《交通强国建设纲要》</w:t>
      </w:r>
    </w:p>
    <w:p>
      <w:pPr>
        <w:pStyle w:val="36"/>
        <w:numPr>
          <w:ilvl w:val="0"/>
          <w:numId w:val="1"/>
        </w:numPr>
        <w:ind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《山东省“十四五”综合交通运输发展规划》</w:t>
      </w:r>
    </w:p>
    <w:p>
      <w:pPr>
        <w:pStyle w:val="36"/>
        <w:numPr>
          <w:ilvl w:val="0"/>
          <w:numId w:val="1"/>
        </w:numPr>
        <w:ind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《济南市国民经济和社会发展第十四个五年规划和二</w:t>
      </w:r>
      <w:r>
        <w:rPr>
          <w:rFonts w:hint="eastAsia" w:ascii="微软雅黑" w:hAnsi="微软雅黑" w:eastAsia="微软雅黑" w:cs="微软雅黑"/>
          <w:color w:val="000000" w:themeColor="text1"/>
          <w14:textFill>
            <w14:solidFill>
              <w14:schemeClr w14:val="tx1"/>
            </w14:solidFill>
          </w14:textFill>
        </w:rPr>
        <w:t>〇</w:t>
      </w:r>
      <w:r>
        <w:rPr>
          <w:rFonts w:hint="eastAsia" w:ascii="仿宋_GB2312" w:hAnsi="仿宋_GB2312" w:cs="仿宋_GB2312"/>
          <w:color w:val="000000" w:themeColor="text1"/>
          <w14:textFill>
            <w14:solidFill>
              <w14:schemeClr w14:val="tx1"/>
            </w14:solidFill>
          </w14:textFill>
        </w:rPr>
        <w:t>三五年远景目标纲要》</w:t>
      </w:r>
    </w:p>
    <w:p>
      <w:pPr>
        <w:pStyle w:val="36"/>
        <w:numPr>
          <w:ilvl w:val="0"/>
          <w:numId w:val="1"/>
        </w:numPr>
        <w:ind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cs="仿宋_GB2312"/>
          <w:color w:val="000000" w:themeColor="text1"/>
          <w14:textFill>
            <w14:solidFill>
              <w14:schemeClr w14:val="tx1"/>
            </w14:solidFill>
          </w14:textFill>
        </w:rPr>
        <w:t>《济南市“十四五”综合交通运输发展规划》</w:t>
      </w:r>
    </w:p>
    <w:p>
      <w:pPr>
        <w:pStyle w:val="36"/>
        <w:numPr>
          <w:ilvl w:val="0"/>
          <w:numId w:val="1"/>
        </w:numPr>
        <w:ind w:firstLineChars="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《济南市莱芜区综合交通中长期发展规划》</w:t>
      </w:r>
    </w:p>
    <w:p>
      <w:pPr>
        <w:pStyle w:val="3"/>
        <w:ind w:left="567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（三）基本原则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1、引领发展，带动更新。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贯彻交通提前布局的工作方针，服务省市重大战略，融入济莱一体化发展格局，以交通引领高铁新区、重工智造产业城的片区建设和产业发展，带动主城区重点片区的城市更新。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2、服务出行，人民满意。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牢固树立以人民为中心的发展思想，充分发挥交通的基础性、服务性作用，持续提高交通运输服务能力、品质和均等化水平。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3、统筹协调、适度超前。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贯彻“大交通”理念，统筹各运输方式融合发展，加快建设综合交通中心；坚持适度超前，完善基础设施功能布局，释放交通运输发展动力。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、安全可靠、绿色低碳。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贯彻“安全第一、生命至上”的发展理念，全面提高交通运输安全保障和应急救援能力。按照“碳达峰、碳中和”目标要求，推进运输结构调整，优化交通能源结构，推动绿色低碳转型，加强交通领域污染防治和资源集约节约利用，建设低碳可持续交通运输体系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、创新驱动、融合发展。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坚持创新在交通运输现代化建设中的核心地位，推动新一代信息技术、人工智能、智能制造、新材料、新能源赋能交通发展。推进交通与现代农业、文旅业、制造业等相关产业融合发展，拓展新业态新模式发展空间。</w:t>
      </w:r>
    </w:p>
    <w:p>
      <w:pPr>
        <w:pStyle w:val="3"/>
        <w:ind w:left="567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（四）发展目标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到2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025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年，全区综合交通供给能力明显提升，基础设施进一步完善，运输方式衔接顺畅性有所提高，运输服务质量和效率明显改善，交通行业管理和保障能力升级，莱芜区综合交通网基本建成。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构建“</w:t>
      </w: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1+3+N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”综合交通发展目标体系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，“1”为一个总目标，打造鲁中交通枢纽之城；“3”为构建对外、城市、乡村三张交通网；“N”为建设公交、停车、慢行、物流、执法等多维度交通服务体系。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基本建成布局完善、能力匹配、结构合理、衔接顺畅、保障有力、立体互联的综合交通网络。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铁路、公路、公共交通等基础设施供给能力和覆盖水平显著提升；各种运输方式协调发展，逐步实现宜铁则铁、宜公则公；综合交通枢纽布局基本合理，枢纽换乘效率和集疏运能力显著提升，综合交通一体化发展水平实现突破。实施国省道新建改造约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220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公里、城市道路新建改造约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180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公里。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基本形成安全便捷舒适、经济高效节约的现代运输服务体系。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构建形成满足城际、城乡、镇村多层次服务需求的高品质现代客运系统，旅客联程运输便捷顺畅。构建形成以信息化为引领，融合产业发展、覆盖多领域的现代物流系统。各种运输方式间设施、信息、运输组织无缝衔接、深度融合。到2025年，基本实现主城区2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分钟、建制镇4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分钟上高速，主城区公交站点5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00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米覆盖率保持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100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%等服务指标。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color w:val="000000" w:themeColor="text1"/>
          <w14:textFill>
            <w14:solidFill>
              <w14:schemeClr w14:val="tx1"/>
            </w14:solidFill>
          </w14:textFill>
        </w:rPr>
        <w:t>综合交通可持续发展水平显著提升。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将科技创新持续赋能交通运输，深入推动智慧交通发展、综合交通运输数字化发展，促进新技术与交通行业发展深度融合，完善交通安全监管制度、交通应急保障体系，深度推进绿色交通发展、交旅融合发展。</w:t>
      </w:r>
    </w:p>
    <w:p>
      <w:pPr>
        <w:pStyle w:val="2"/>
        <w:spacing w:before="156" w:after="156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二、打造内联外通的综合交通网络</w:t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（一）强化“对外交通”，支撑 “省会副中心”建设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紧抓“济莱一体化”与“省会副中心”战略机遇，积极构建以高速铁路、高速公路、快速通道为骨架，普铁、国省干线为支撑的区域对外交通系统，加强与济南的同城化发展，融入“1小时济南都市圈”，实现对外交通的通达高效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1、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推动高速铁路建设。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依托济莱高铁建设，加强与济南市主城区联系，促进形成黄河流域“一字型”大通道。协调推动滨州至淄博至莱芜高铁、莱临高铁、鲁中高铁的规划建设，打通莱芜南北、东西走向铁路大动脉，加强与淄博、滨州、临沂及青岛、聊城的联系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2、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完善通用机场现代化水平。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初步谋划提升雪野机场，延长机场跑道至1200米，飞行区指标提升到2B级别，机场升级为A1类通用机场。提供应急救援、农林生产、飞行培训、商务飞行、旅游体验等服务。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3、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完善“五横五纵一环”莱芜大交通新格局。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按照增强辐射、构线成网的思路，谋划章莱高速公路等新建项目；近期计划实施G205改线、S234改线，推进G341改线、S243东延、S317改线、庆章高速南延、庆章高速南延(大王庄至</w:t>
      </w:r>
      <w:r>
        <w:rPr>
          <w:rFonts w:hint="eastAsia"/>
          <w:color w:val="000000" w:themeColor="text1"/>
          <w:szCs w:val="28"/>
          <w14:textFill>
            <w14:solidFill>
              <w14:schemeClr w14:val="tx1"/>
            </w14:solidFill>
          </w14:textFill>
        </w:rPr>
        <w:t>滨莱高速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）连接线。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表1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莱芜对外交通路网布局</w:t>
      </w:r>
    </w:p>
    <w:tbl>
      <w:tblPr>
        <w:tblStyle w:val="1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29"/>
        <w:gridCol w:w="7167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  <w:vAlign w:val="center"/>
          </w:tcPr>
          <w:p>
            <w:pPr>
              <w:ind w:firstLine="0" w:firstLineChars="0"/>
              <w:jc w:val="center"/>
              <w:rPr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布局</w:t>
            </w:r>
          </w:p>
        </w:tc>
        <w:tc>
          <w:tcPr>
            <w:tcW w:w="7167" w:type="dxa"/>
            <w:vAlign w:val="center"/>
          </w:tcPr>
          <w:p>
            <w:pPr>
              <w:ind w:firstLine="0" w:firstLineChars="0"/>
              <w:jc w:val="center"/>
              <w:rPr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线路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五横</w:t>
            </w:r>
          </w:p>
        </w:tc>
        <w:tc>
          <w:tcPr>
            <w:tcW w:w="7167" w:type="dxa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S317、S243、G341、莱泰高速、青兰高速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五纵</w:t>
            </w:r>
          </w:p>
        </w:tc>
        <w:tc>
          <w:tcPr>
            <w:tcW w:w="7167" w:type="dxa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G205、滨莱京沪高速、S234、S241、庆章高速南延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129" w:type="dxa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一环</w:t>
            </w:r>
          </w:p>
        </w:tc>
        <w:tc>
          <w:tcPr>
            <w:tcW w:w="7167" w:type="dxa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G205改线、S234改线、北环为框架的莱芜区大外环</w:t>
            </w:r>
          </w:p>
        </w:tc>
      </w:tr>
    </w:tbl>
    <w:p>
      <w:pPr>
        <w:pStyle w:val="25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398770" cy="4404995"/>
            <wp:effectExtent l="0" t="0" r="0" b="0"/>
            <wp:docPr id="38819166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191665" name="图片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409102" cy="441374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图1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莱芜对外交通路网布局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4、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推动综合交通枢纽建设提级。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按照布局均衡、层次分明的工作思路，结合莱芜高速铁路、普速铁路、高速公路及城市交通规划布局，完善莱芜“三枢”建设，提升莱芜与周边区县衔接强度，全面提升枢纽发展质量和整体效能。完善莱芜北站综合性客运枢纽建设，助力济南“5+6+N”综合客运枢纽体系布局的形成；依托四港联动，推动莱芜站货运枢纽建设；依托济莱高铁，完善雪野站客运枢纽建设，带动雪野发展。</w:t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（二）完善“城市交通”，提升骨架路网通行能力和道路品质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坚持引领发展、服务出行的原则，积极推进骨架道路品质提升带动主城区城市更新，加快次干路支路建设优化路网级配，拉开城市发展框架，加快高铁新区、重工智造产业城的道路建设；加强道路交叉口和瓶颈节点治理，倡导绿色低碳出行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1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完善城市路网体系。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“十四五”期间，按照“骨架网络外延、老城更新有配套、新区建设有支撑、关键节点有突破”的思路，新建城市道路1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18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公里，改造城市道路6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公里，加快形成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“六横七纵一环”骨架网络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和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“九横八纵”次干路交通网络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结合城市更新，重点推进鲁中大街、嬴牟西大街、大桥路、龙潭大街、长勺路、汇源大街、汶河大道辅路、山财大街和龙潭东大街路面整修等主干路提升改造；结合民生需求，重点推动九龙山路、花园路、凤城西大街等次支路提升改造。结合城市发展方向，完善骨架路网，推动龙潭大街东延、文化路公铁立交综合工程（山财大街西延、文化路公铁立交涉铁桥）、鹿鸣路、长勺路北延、凤凰路北延等道路建设；实施瓶颈道路畅通和次支道路加密工程，推进井冈山路、鹏泉大街西延、连河东路、雪湖大街、凤起玉鸣市政道路等道路建设。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表2 莱芜城市交通网络布局</w:t>
      </w:r>
    </w:p>
    <w:tbl>
      <w:tblPr>
        <w:tblStyle w:val="16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52"/>
        <w:gridCol w:w="7070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" w:type="pct"/>
          </w:tcPr>
          <w:p>
            <w:pPr>
              <w:ind w:firstLine="0" w:firstLineChars="0"/>
              <w:jc w:val="center"/>
              <w:rPr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布局</w:t>
            </w:r>
          </w:p>
        </w:tc>
        <w:tc>
          <w:tcPr>
            <w:tcW w:w="4148" w:type="pct"/>
          </w:tcPr>
          <w:p>
            <w:pPr>
              <w:ind w:firstLine="0" w:firstLineChars="0"/>
              <w:jc w:val="center"/>
              <w:rPr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线网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" w:type="pct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“六横七纵一环”骨架路网布局</w:t>
            </w:r>
          </w:p>
        </w:tc>
        <w:tc>
          <w:tcPr>
            <w:tcW w:w="4148" w:type="pct"/>
            <w:vAlign w:val="center"/>
          </w:tcPr>
          <w:p>
            <w:pPr>
              <w:tabs>
                <w:tab w:val="left" w:pos="885"/>
              </w:tabs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六横：鲁矿大道、嬴牟大街、龙潭大街、鲁中大街、凤城大街、汶河大道；</w:t>
            </w:r>
          </w:p>
          <w:p>
            <w:pPr>
              <w:tabs>
                <w:tab w:val="left" w:pos="885"/>
              </w:tabs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七纵：凤凰路、大桥路、文化路、长勺路、胜利路、鹿鸣路、莱城大道，一环构建以西环、南环、北环及东环为框架的城区外环。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852" w:type="pct"/>
            <w:vAlign w:val="center"/>
          </w:tcPr>
          <w:p>
            <w:pPr>
              <w:ind w:firstLine="0" w:firstLineChars="0"/>
              <w:jc w:val="center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“九横八纵”次干路网布局</w:t>
            </w:r>
          </w:p>
        </w:tc>
        <w:tc>
          <w:tcPr>
            <w:tcW w:w="4148" w:type="pct"/>
            <w:vAlign w:val="center"/>
          </w:tcPr>
          <w:p>
            <w:pPr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九横：银河大街、汶水大街、苍龙泉大街、汶源大街、汶阳大街、鹏泉大街、盘龙河大街、汉江大街、长江大街；</w:t>
            </w:r>
          </w:p>
          <w:p>
            <w:pPr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八纵：九龙山路、云台山路、原山路、万福路、花园路、北坛路、汶秀路、新甫路。</w:t>
            </w:r>
          </w:p>
        </w:tc>
      </w:tr>
    </w:tbl>
    <w:p>
      <w:pPr>
        <w:pStyle w:val="25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5381625" cy="4857750"/>
            <wp:effectExtent l="0" t="0" r="0" b="0"/>
            <wp:docPr id="8526362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636248" name="图片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5388314" cy="48643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图2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莱芜“六横七纵一环”骨架路网布局</w:t>
      </w:r>
    </w:p>
    <w:p>
      <w:pPr>
        <w:ind w:firstLine="560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2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推动跨牟汶河通道建设。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按照主要通道连通、现状通道扩容、通道景观美化的规划思路，</w:t>
      </w:r>
      <w:r>
        <w:rPr>
          <w:rFonts w:hint="eastAsia"/>
        </w:rPr>
        <w:t>设计建设西外环通道、重工规划路通道、嬴城路通道、鹿鸣路通道、九龙山路通道五座跨牟汶河通道，同时对现状凤凰路桥、大桥路桥、长勺路桥、莱城大道桥进行景观提升，助力莱芜城市框架向南延展。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drawing>
          <wp:inline distT="0" distB="0" distL="0" distR="0">
            <wp:extent cx="5274310" cy="4088765"/>
            <wp:effectExtent l="0" t="0" r="2540" b="6985"/>
            <wp:docPr id="4803329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32906" name="图片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089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图3跨牟汶河通道规划布局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3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服务重点片区发展。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围绕高铁新区、重工智造产业城的建设发展，加快推进交通基础设施建设。推动大桥路北延、花园路北延、香山路北延、汇河大道东延、鲁矿大道东延等高铁衔接线建设，服务济莱高铁到发交通；在高铁新区规划建设凤凰路北延、站前路、莱芜北站片区规划二路等道路，实现高铁新区道路基本成网。在重工智造产业城聚焦工业发展，构建完善的货运体系和片区路网，规划建设莱芜重工货运通道、鲁矿大街西延、珠海路、香港西路、汇河路、正顺路、嬴城路等道路。</w:t>
      </w:r>
    </w:p>
    <w:p>
      <w:pPr>
        <w:pStyle w:val="25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481195" cy="3667760"/>
            <wp:effectExtent l="0" t="0" r="0" b="889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rcRect l="4191" t="8384" r="4338" b="11487"/>
                    <a:stretch>
                      <a:fillRect/>
                    </a:stretch>
                  </pic:blipFill>
                  <pic:spPr>
                    <a:xfrm>
                      <a:off x="0" y="0"/>
                      <a:ext cx="4500205" cy="3683509"/>
                    </a:xfrm>
                    <a:prstGeom prst="rect">
                      <a:avLst/>
                    </a:prstGeom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4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高铁衔接线布局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337685" cy="4251325"/>
            <wp:effectExtent l="0" t="0" r="5715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362806" cy="427616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5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 xml:space="preserve"> 重工智造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产业城路网布局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t>4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、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加强平面交叉口和瓶颈路段综合治理。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优化中心城区交叉口渠化设计，完善交通标志、交通监控及电子警察等交通基础设施。实施城区平面交叉口维修工程、重点交通安全隐患提升改造工程及莱芜区188处交叉口交通工程、</w:t>
      </w:r>
      <w:r>
        <w:rPr>
          <w:rFonts w:hint="eastAsia"/>
          <w:lang w:bidi="zh-CN"/>
        </w:rPr>
        <w:t>主城区公交站点提升改造工程、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莱芜区交通系统信息化提升改造工程，通过城市交通“微手术”提高路网整体运行效率，完善标志标线、交安设施保障居民安全出行。</w:t>
      </w:r>
    </w:p>
    <w:p>
      <w:pPr>
        <w:pStyle w:val="3"/>
        <w:rPr>
          <w:rFonts w:ascii="仿宋_GB2312" w:eastAsia="仿宋_GB2312"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eastAsia="仿宋_GB2312"/>
          <w:color w:val="000000" w:themeColor="text1"/>
          <w14:textFill>
            <w14:solidFill>
              <w14:schemeClr w14:val="tx1"/>
            </w14:solidFill>
          </w14:textFill>
        </w:rPr>
        <w:t>（三）提升“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乡村交通</w:t>
      </w:r>
      <w:r>
        <w:rPr>
          <w:rFonts w:hint="eastAsia" w:ascii="仿宋_GB2312" w:eastAsia="仿宋_GB2312"/>
          <w:color w:val="000000" w:themeColor="text1"/>
          <w14:textFill>
            <w14:solidFill>
              <w14:schemeClr w14:val="tx1"/>
            </w14:solidFill>
          </w14:textFill>
        </w:rPr>
        <w:t>”，推进城乡一体化交通发展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坚持“建养并重、管运并举”，按照“建好、管好、护好、运营好”农村公路总体目标，坚持示范县创建与巩固拓展脱贫攻坚成果同乡村振兴有效衔接，与美丽乡村建设、农业农村现代化建设和旅游路、产业路、园区路建设相结合，统筹谋划，多方位融合；坚持以需求为导向，因地制宜，高质量建养管运，打造精品工程，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充分发挥“四好农村路”建设示范引领作用，形成路景交融、路产融合、协调发展的农村公路发展格局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立足莱芜区全国“四好农村路”示范县发展机遇，推动县道、乡道、村道建设改造，加快农村公路提质增效，进一步健全完善“四好农村路”高质量发展体系，推动农村公路基础信息数字化，提升农村公路管理效能，加快城乡交通运输一体化发展，建立优质高效的运输服务体系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实施农村公路改造提升、路网延伸通达和路面状况改善工程，进一步提高农村公路通行能力和服务水平；实施危桥改造和村道安全生命防护工程，加快完善全区农村公路交通安全基础设施，切实提高安全防护水平。按照每年实施养护工程比例不低于7%的要求，安排好养护大、中修和预防性养护工程。严格农村公路技术标准，新建公路路面宽度不低于6米，路面采用沥青混凝土的厚度不低于5厘米，采用水泥混凝土的厚度不低于20厘米。维持建制村通硬化路率达100%、农村公路四级及以上达100%、农村公路列养率达100%、农村公路应设置安防设施路段设置率达100%。</w:t>
      </w:r>
    </w:p>
    <w:p>
      <w:pPr>
        <w:pStyle w:val="2"/>
        <w:spacing w:before="156" w:after="156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三、构建高效集约运输服务体系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大力推动铁路、公路、公共交通等多种运输方式有机融合、相互补充，加快运输一体化进程，强化运输设施装备和保障能力，构建安全便捷、经济高效、绿色集约的运输服务体系。推动交通与物流业、制造业、旅游业等相关产业深度融合发展，以交通建设带动产业发展。</w:t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（一）构建安全便捷舒适的客运服务体系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提升城市客运服务能力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贯彻落实公交优先发展战略，“十四五”期间，主城区形成“四纵三横”主城区公共交通骨干通行网络。科学配置公交线网，梳理公交线网功能层次，不断提升公交线网布局优化与城市发展的适应性，“十四五”期间公共交通出行分担率由19%提高到25%，中心城区公共交通出行分担率突破30%。维持中心城区公交交通站点5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00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米覆盖率1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00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%，公共交通乘车一卡通、微信支付、支付宝支付覆盖率达到100%。规划公交枢纽9处、首末站7处、停保场17处（兼具首末站功能），公交综合基地1处，总面积约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50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公顷，公交进场率100%。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表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 xml:space="preserve">3 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莱芜公交骨干通行廊道布局</w:t>
      </w:r>
    </w:p>
    <w:tbl>
      <w:tblPr>
        <w:tblStyle w:val="1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759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</w:tcPr>
          <w:p>
            <w:pPr>
              <w:ind w:firstLine="0" w:firstLineChars="0"/>
              <w:jc w:val="center"/>
              <w:rPr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布局</w:t>
            </w:r>
          </w:p>
        </w:tc>
        <w:tc>
          <w:tcPr>
            <w:tcW w:w="7592" w:type="dxa"/>
          </w:tcPr>
          <w:p>
            <w:pPr>
              <w:ind w:firstLine="0" w:firstLineChars="0"/>
              <w:jc w:val="center"/>
              <w:rPr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b/>
                <w:bCs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线路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</w:tcPr>
          <w:p>
            <w:pPr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四纵</w:t>
            </w:r>
          </w:p>
        </w:tc>
        <w:tc>
          <w:tcPr>
            <w:tcW w:w="7592" w:type="dxa"/>
          </w:tcPr>
          <w:p>
            <w:pPr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长勺路（单向2</w:t>
            </w:r>
            <w:r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公里）、莱城大道（单向2</w:t>
            </w:r>
            <w:r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公里）、大桥路（单向8公里）、凤凰路（单向8公里）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</w:tcPr>
          <w:p>
            <w:pPr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三横</w:t>
            </w:r>
          </w:p>
        </w:tc>
        <w:tc>
          <w:tcPr>
            <w:tcW w:w="7592" w:type="dxa"/>
          </w:tcPr>
          <w:p>
            <w:pPr>
              <w:ind w:firstLine="0" w:firstLineChars="0"/>
              <w:rPr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1"/>
                <w14:textFill>
                  <w14:solidFill>
                    <w14:schemeClr w14:val="tx1"/>
                  </w14:solidFill>
                </w14:textFill>
              </w:rPr>
              <w:t>汶河大道（单向8公里）、鲁中大街（单向3公里）、龙潭大街（6公里）</w:t>
            </w:r>
          </w:p>
        </w:tc>
      </w:tr>
    </w:tbl>
    <w:p>
      <w:pPr>
        <w:spacing w:line="240" w:lineRule="exact"/>
        <w:ind w:firstLine="0" w:firstLineChars="0"/>
        <w:jc w:val="center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ind w:firstLine="0" w:firstLineChars="0"/>
        <w:jc w:val="center"/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479290" cy="4095750"/>
            <wp:effectExtent l="0" t="0" r="0" b="0"/>
            <wp:docPr id="5053658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36584" name="图片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385" r="2596" b="3323"/>
                    <a:stretch>
                      <a:fillRect/>
                    </a:stretch>
                  </pic:blipFill>
                  <pic:spPr>
                    <a:xfrm>
                      <a:off x="0" y="0"/>
                      <a:ext cx="4491237" cy="4106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6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 xml:space="preserve"> 公交场站和走廊规划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推进城乡客运公交化改造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完成城乡公交一体化改革，推动城市公交向农村延伸，促进公共服务均等化，丰富城乡公交功能，打造客运物流融合的特色城乡公交；创新公交运营模式，发展社区、单位定制公交新型公交服务，满足多元化出行需求；推动公交枢纽、首末站、停保站建设，实施公交站台改造提升，实现不同层级、不同功能线路高效换乘，逐步形成城区、城乡分层分级运营高效的一体化网络。“十四五”期间，维持全区行政村公交通行率100%，农村客运车辆动态监控设备安装使用率100%，二级以上汽车客运站省域道路客运联网售票覆盖率100%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打造安全、生态、宜居、连续、和谐的城市慢行系统，结合自然景观节点、商业商务节点、学校企业节点谋划慢行休闲廊道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：串接慢行节点，服务于观光旅游、日常休闲，保证慢行品质，与旅游公路衔接。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谋划慢行通勤廊道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：依托主次干道，串联主要公交枢纽点，方便换乘衔接，服务市民通勤出行。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566285" cy="3971925"/>
            <wp:effectExtent l="0" t="0" r="5715" b="0"/>
            <wp:docPr id="28241807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418072" name="图片 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604464" cy="4005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7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慢行廊道规划</w:t>
      </w:r>
    </w:p>
    <w:p>
      <w:pPr>
        <w:ind w:firstLine="562"/>
        <w:rPr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增强对外客运服务能力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推进铁路干线网络化建设，促进形成“同城效应”，依托济莱高铁建设，实现半小时内直达济南中心城区目标。加强公路与铁路的衔接，以高铁客运站建设和现有火车站改造为依托，建设一批现代化综合客运枢纽，完善枢纽站场联运服务功能，实现“零距离换乘”；提升旅客最先和</w:t>
      </w:r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“</w:t>
      </w:r>
      <w:bookmarkStart w:id="0" w:name="_GoBack"/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最后一公里</w:t>
      </w:r>
      <w:bookmarkEnd w:id="0"/>
      <w:r>
        <w:rPr>
          <w:rFonts w:hint="eastAsia"/>
          <w:color w:val="000000" w:themeColor="text1"/>
          <w:lang w:eastAsia="zh-CN"/>
          <w14:textFill>
            <w14:solidFill>
              <w14:schemeClr w14:val="tx1"/>
            </w14:solidFill>
          </w14:textFill>
        </w:rPr>
        <w:t>”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出行效率；加快培育专业化的旅客联程运输经营主体，支持不同运输方式企业依托运输线路、站场资源等纽带，联合成立旅客联程运输企业联盟，合作开展旅客联程运输经营业务。</w:t>
      </w:r>
    </w:p>
    <w:p>
      <w:pPr>
        <w:pStyle w:val="3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（二）打造经济高效集约的现代货运体系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优化调整运输结构，提高绿色货运比重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促进大宗货物“公转铁”，优化运输结构。积极推进多式联运示范工程建设，大力发展冷链、绿色配送等专用运输，指导优化货运物流运输结构。跟踪观察城乡物流信息化发展状况，认真评估经济效益和市场潜力。持续扩大“司机之家”服务覆盖范围，着力改善提升货车司机工作条件。规范网络货运行业发展，加强对网络货运等物流服务新模式事前事中事后监管，发挥监测机制，认真做好对网络货运企业从业审核认定、动态跟踪督查、运输单据上传、注销退出处理等监管工作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谋划形成 “一核、三心、多点”货运空间布局结构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一核：鲁中智造智慧物流园；三心：莱芜区智慧冷链物流中心、莱芜区工业物流中心、雪野商贸会展中心；多点：杨庄、苗山配送中心与末端配送节点共同承担区域配送的职能。完善“云园区”运作结构，依托智慧供应链信息平台，实现节点与平台双向协调，节点与节点信息共享，形成空间布局合理、功能互补、信息互通的“云园区”模式。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3591560" cy="3653790"/>
            <wp:effectExtent l="0" t="0" r="8890" b="3810"/>
            <wp:docPr id="159492937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4929372" name="图片 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613353" cy="3675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8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货运空间布局结构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大力推动农村客货邮融合发展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瞄准主攻方向，深化功能拓展，厚植发展优势，加快客货邮融合发展，打通农村物流“最后一公里”，有效推进城乡物流服务均等化，促进农村物流降本增效，提升农村物流末端服务水平，让人民群众生活更有品质、更加富裕，助力打造乡村振兴齐鲁样板省会标杆。“十四五”期间，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加快构建“一网多用、一站多能、多点合一、深度融合、共享共赢”的区、镇、村三级农村寄递物流体系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，构建1+12+200+N三级物流配送体系，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逐步完善三级物流体系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。“1”个区级物流中心；“12”个镇级分拣中心；“200”个村级服务点已建成，后期根据实际情况需要增设“N”个村级服务点，确保 103 条城乡公交线路安全畅通，实现各村级点快递量成几何式倍增。畅通农产品出村进城“最初一公里”和工业品下乡进村“最后一公里”，快递进村率达到100%，实现物流畅通、城乡覆盖、设施完善、成本降低、服务提升的目标，农村客货邮发展工作取得新实效，打造客货邮融合发展“莱芜2.0版”。</w:t>
      </w:r>
    </w:p>
    <w:p>
      <w:pPr>
        <w:pStyle w:val="2"/>
        <w:spacing w:before="156" w:after="156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四、推进交通运输治理体系和治理能力现代化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全面推进交通运输治理体系和治理能力现代化，遵循绿色治理、系统治理、智慧治理的理念，坚持以人为本、标本兼治、远近结合和体制机制创新的原则，多措并举、综合施策，推动城市综合交通治理，为加快建设现代化交通体系创造良好环境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（一）提升交通绿色低碳发展水平</w:t>
      </w:r>
    </w:p>
    <w:p>
      <w:pPr>
        <w:ind w:firstLine="56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推动出行方式向绿色优先转型，积极调整交通运输结构，提升城市绿色低碳发展水平。贯彻落实“公交优先”发展战略，推动“公交+慢行”融合发展，加强交通需求管理。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推动货运结构向公铁并重转型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。完善铁路货运通道，推进适铁产业发展，引导适铁运输货物由公路运输转向铁路运输。积极发展新能源和清洁能源运输工具。推动车辆动力向清洁能源转型，加快推动城市公交、巡游出租、网约、城市物流配送、建筑垃圾运输、混凝土运输、公务等公共领域车辆电动化，大力推动私人及企业用车等领域车辆新能源化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严控小汽车停车位配建指标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限制小汽车出行生态绿色；新增充电桩（站）配建，促进车辆低碳环保；停车场用地混合开发，商停结合，减少步行时间；提高公交站点非机动车停车设施覆盖率及配建规模，实现绿色出行方式一体化换乘；高标准供给非机动车停车设施，充分满足骑行停车需求，创建轻型城市。</w:t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drawing>
          <wp:inline distT="0" distB="0" distL="0" distR="0">
            <wp:extent cx="4438650" cy="3686175"/>
            <wp:effectExtent l="0" t="0" r="0" b="9525"/>
            <wp:docPr id="206470576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705766" name="图片 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444507" cy="36916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0" w:firstLineChars="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图</w:t>
      </w:r>
      <w:r>
        <w:rPr>
          <w:color w:val="000000" w:themeColor="text1"/>
          <w14:textFill>
            <w14:solidFill>
              <w14:schemeClr w14:val="tx1"/>
            </w14:solidFill>
          </w14:textFill>
        </w:rPr>
        <w:t>9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公共停车设施规划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在道路交通工程建设过程中，在保证其质量和安全的前提下，通过科学的管理和指导，以环保为原则，节约资源并且减少污染，实现节能、节地和节水、节材以及环保。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（二）提升交通科技创新水平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规划建设济南数字交通产业园。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围绕公路、铁路、水路、航空等交通运输及基础设施建设领域上、下游产业为主导，吸引央企、省企和社会资本方参与投资，从规划设计、建设运营、项目引进等多方面推进产业园项目落地，通过引进、培育、打造新技术、新工艺、新材料、新能源等智慧交通、数字交通项目，建设交通产业园，助推交通事业发展，服务地方经济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加快公共交通信息化建设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，实现公交信息一站式服务、运行状况全链条监管、数据采集全面可感知，提高公交运行的准点率和覆盖面。利用“5G消息”、“富媒体”等先进信息手段，搭建公交与乘客交互平台，建设“互联网+公交”，实现公交业务供求、服务评价、信息展示、企业与客户交互的网络化，实现定制公交、网约公交、“点对点”公交服务，为乘客提供更丰富、更个性、更舒适的公交服务，不断满足人民群众公交出行新需求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（三）强化安全应急保障能力</w:t>
      </w:r>
    </w:p>
    <w:p>
      <w:pPr>
        <w:ind w:firstLine="56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以强本固基为核心，以先进技术推广应用、优化应急响应流程、提高风险防范意识、增强从业人员安全技能、实施安责险试点为重点，全面提升应急管理综合保障能力。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完善交通安全生产体系。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完善依法治理体系，健全交通安全生产制度和标准规范。完善安全责任体系，强化企业主体责任，明确部门监管责任。完善预防控制体系，有效防控系统性风险，建立交通装备、工程第三方认证制度。强化安全生产事故调查评估。完善网络安全保障体系，增强科技兴安能力，加强交通信息基础设施安全保护。落实企业安全生产主体责任，继续深入推进企业安全生产标准化建设和风险管理，强化交通运输运营安全管理；严把交通运输行业从业人员资质准入关，加强安全管理职业资格制度建设，建立健全安全生产培训教育体系；着力提高企业安全生产违法成本，建立安全生产诚信管理体系，将企业安全行为与市场管理形成联动；建立健全企业安全生产和政府安全监管信息主动公开制度；开展社会公众交通运输安全生产知识宣传教育活动，增强公众安全意识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提高基础设施安全标准化水平。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加大安全配套设施规划、设计和建设投入力度，加强交通基础设施性能安全监测。强化交通基础设施预防性养护维护、安全评估，加强交通基础设施长期性能观测，完善数据采集、检测诊断、维修处治技术体系，加大病害治理力度，及时消除安全隐患，推进交通基础设施数字化、精细化、标准化管理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建立健全安全应急体系。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加强交通运输领域应急管理顶层设计，建立健全多部门联动、多方式协同、多主体参与的综合交通应急运输管理协调机制，完善科学协调的综合交通应急运输保障预案体系，全面提升交通运输领域应急管理能力。进一步修订完善交通运输安全应急预案，成立道路运输应急抢险队伍，储备各类应急车辆、工程机械等设备，加强日常应急演练，确保快速反应、上下联通、运转高效。加强通道安全保障能力建设，加强交通运输安全风险预警、防控机制和能力建设，强化风险辨识、评估和管控，建立行业重大风险“一张图”和重大风险基础信息清单、责任分工清单、防控措施清单、应急处置清单等清单，健全交通运输安全监管体系和搜寻救助系统，提升交通运输安全水平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着力补齐监管短板弱项。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重点加强道路运输“两客一危一货”安全监管，从严从细抓好山区道路、危旧桥梁、急弯陡坡等重要点位安全隐患排查整治，及时发布安全预警提示，全面落实行业安全监管责任，着力补短板、堵漏洞、强弱项，确保行业安全形势持续稳定向好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完善安全责任管理体系。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创新安全管理模式，强化重点基础设施建设、运行安全风险防控、加强安全生产执法，转换安全监管模式，从事后被动监管变为事前主动预防，全面改善交通设施安全水平。推进宣传教育体系建设，加强安全生产诚信管理，加强人员培训教育，提高安全监管人员、从业人员安全素质和业务技能，提升履职能力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（四）提高综合交通治理水平</w:t>
      </w:r>
    </w:p>
    <w:p>
      <w:pPr>
        <w:ind w:firstLine="562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着力完善综合交通法律法规和标准体系。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高质量推进全区综合交通法规制度体系建设，构建莱芜综合交通法规制度体系框架，加强交通运输新业态立法储备，探索开展区域协同立法，加强规划引领和计划管理，提升规范性文件的系统化支撑保障作用，坚持法规制度立改废并举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深入推进交通运输综合执法体系创新。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优化完善综合执法机构职能，明晰系统内公路路政、道路运政、水路运政、工程质量监督等行业监管职责，积极推进各领域、各环节联合执法机制的落实，构建事权清晰、有机衔接、政令畅通、协同高效的一体化综合交通运输体制机制。全面推进铁路沿线环境争整治工作常态化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深化“放管服”改革。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进一步优化市场环境，打造公平开放、稳定透明、灵活高效的多元化交通运输治理体系。全面推广告知承诺制等事前监管，开展信用评价，实施差异化、精准化事中监管，依法依规实施守信激励和失信惩戒等事后监管。实施“一枚印章管审批”，全面推行“双随机、一公开”监管，实施包容审慎信用监管；加强与相关部门的联系沟通，落实主要业务单一窗口、分类验收相关政策，企业发展环境不断优化，持续激发市场主体活力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b/>
          <w:bCs/>
          <w:color w:val="000000" w:themeColor="text1"/>
          <w14:textFill>
            <w14:solidFill>
              <w14:schemeClr w14:val="tx1"/>
            </w14:solidFill>
          </w14:textFill>
        </w:rPr>
        <w:t>加速城乡公交客运一体化改革</w:t>
      </w: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按照“政府主导、城乡一体、全域覆盖、公车公营、公益服务”的思路，创新模式，全面推进城乡客运公交一体化。坚持公司化运营，按照公车公营、适度竞争、集约经营、杜绝挂靠的原则，运营城区公交和城乡公交。制定“一个不变、两个倾斜、三个到位”政策。统一执行合理票价，实行“两头一元、中间三元”制度。对城乡公交车全部实行进站管理、专区发车，采用GPS卫星定位系统和智能终端，对乘车和行车安全全程监控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提升综合行政执法规范化水平。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全面落实行政执法“三项制度”，规范自由裁量权，完善执法程序，改进执法方式。规范执法行为，开展“规范执法、提升形象”综合行政执法队伍素质能力提升行动。建立健全跨部门跨区域联合执法协作机制，完善联席会议、案件移送、信息共享制度，形成执法监管合力。</w:t>
      </w:r>
    </w:p>
    <w:p>
      <w:pPr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b/>
          <w:bCs/>
          <w:color w:val="000000" w:themeColor="text1"/>
          <w14:textFill>
            <w14:solidFill>
              <w14:schemeClr w14:val="tx1"/>
            </w14:solidFill>
          </w14:textFill>
        </w:rPr>
        <w:t>提升交通文明建设。</w:t>
      </w: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强化科技执法，完善非现场执法点建设。打造交通运输文化品牌和文明示范窗口，树立交通运输行业先进典型，努力建设人民满意的文明交通行业。全面实施文明提升、行风建设、文化培育、典型培树、品牌塑造“五个工程”，多种形式开展宣传教育，推动绿色交通、交通安全宣传教育进社区、进学校，建立健全以党建文化、精神文化、制度文化、法治文化、廉政文化、诚信文化为核心的文化体系，结合行业特点精心打造行业公路文化、道路运输服务文化、综合执法文化、高速公路出行服务文化、志愿服务文化、品质工程文化、交通安全文化品牌，并搭建相关宣传推广、交流学习、成就展示平台。</w:t>
      </w:r>
    </w:p>
    <w:p>
      <w:pPr>
        <w:pStyle w:val="2"/>
        <w:spacing w:before="156" w:after="156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五、保障措施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（一）强化组织领导</w:t>
      </w:r>
    </w:p>
    <w:p>
      <w:pPr>
        <w:ind w:firstLine="56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落实公路、铁路、民航、水运等各部门在规划实施中的任务分工，建立由区政府领导、各相关部门分工协作的综合交通运输发展机制。制定详细年度实施方案，着重抓好重点任务、重大工程、重大政策的落实，确保规划实施组织到位、责任到位、落实到位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（二）强化协调联动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加强与国土空间规划、“三区三线”等规划的衔接协调；加强与省内、市内上位规划、外围地市的衔接合作。加快项目规划选址、土地、环评、投融资模式、财政补贴等审批工作，缩短前期工作周期，确保重点贯彻仓、重大项目按期开工建设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（三）完善资金保障</w:t>
      </w:r>
    </w:p>
    <w:p>
      <w:pPr>
        <w:ind w:firstLine="560"/>
        <w:rPr>
          <w:b/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明确各级政府的事权和支出责任。提高地方公共财政对交通运输发展的公益性投入的保障能力。积极争取国家重大发展战略有关资金支持以及车购税、中央一般财政预算等对交通建设的投入。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加强和完善融资平台建设。适当增加投资主体，加大政策和项目投资运营机制改革的力度，鼓励民营和社会资本进入交通基础设施建设领域，加强和规范民营和社会资本投资项目管理。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拓展投融资渠道。在政府主导和市场运作下，不断扩宽资金利用渠道，发挥各种融资平台的作用，建立稳定的资金渠道，加快交通基础设施与公共交通等方面的发展；进一步提高城市交通运输市场的开放性，吸引社会资金开展建设和经营活动。</w:t>
      </w:r>
    </w:p>
    <w:p>
      <w:pPr>
        <w:pStyle w:val="3"/>
        <w:ind w:firstLine="562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（四）强化人才支撑</w:t>
      </w:r>
    </w:p>
    <w:p>
      <w:pPr>
        <w:ind w:firstLine="560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坚持以高素质人才保障交通高质量发展，加强交通人才培养引进力度，推进人才资源开发，有效增加人才总量，着力优化人才结构，稳步提高人才素质。培育一批懂规划善治理、具有较高专业素质的交通类战略科技人才和高水平创新团队。优化干部队伍结构和专业能力。</w:t>
      </w:r>
    </w:p>
    <w:p>
      <w:pPr>
        <w:pStyle w:val="2"/>
        <w:spacing w:before="156" w:after="156"/>
        <w:ind w:firstLine="562"/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六、主要实施计划</w:t>
      </w:r>
    </w:p>
    <w:p>
      <w:pPr>
        <w:ind w:firstLine="560"/>
        <w:jc w:val="center"/>
        <w:rPr>
          <w:color w:val="000000" w:themeColor="text1"/>
          <w14:textFill>
            <w14:solidFill>
              <w14:schemeClr w14:val="tx1"/>
            </w14:solidFill>
          </w14:textFill>
        </w:rPr>
      </w:pPr>
      <w:r>
        <w:rPr>
          <w:rFonts w:hint="eastAsia"/>
          <w:color w:val="000000" w:themeColor="text1"/>
          <w14:textFill>
            <w14:solidFill>
              <w14:schemeClr w14:val="tx1"/>
            </w14:solidFill>
          </w14:textFill>
        </w:rPr>
        <w:t>表4 主要实施计划</w:t>
      </w:r>
    </w:p>
    <w:tbl>
      <w:tblPr>
        <w:tblStyle w:val="16"/>
        <w:tblW w:w="5000" w:type="pct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93"/>
        <w:gridCol w:w="858"/>
        <w:gridCol w:w="70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79" w:hRule="atLeast"/>
        </w:trPr>
        <w:tc>
          <w:tcPr>
            <w:tcW w:w="348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类型</w:t>
            </w: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年份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项目名称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8" w:hRule="atLeast"/>
        </w:trPr>
        <w:tc>
          <w:tcPr>
            <w:tcW w:w="348" w:type="pct"/>
            <w:vMerge w:val="restar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国</w:t>
            </w:r>
          </w:p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省</w:t>
            </w:r>
          </w:p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道</w:t>
            </w: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2023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G341大中修、S</w:t>
            </w:r>
            <w:r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241</w:t>
            </w: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大中修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08" w:hRule="atLeast"/>
        </w:trPr>
        <w:tc>
          <w:tcPr>
            <w:tcW w:w="348" w:type="pct"/>
            <w:vMerge w:val="continue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2024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S234改线、G205改线、S243东延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348" w:type="pct"/>
            <w:vMerge w:val="continue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2025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庆章高速南延项目、庆章高速南延(大王庄至滨莱高速）连接线、S</w:t>
            </w:r>
            <w:r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317</w:t>
            </w: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改造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348" w:type="pct"/>
            <w:vMerge w:val="restar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城</w:t>
            </w:r>
          </w:p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市</w:t>
            </w:r>
          </w:p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道</w:t>
            </w:r>
          </w:p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路</w:t>
            </w: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2023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跨牟汶河桥梁工程、鲁中大街改造、嬴牟西大街改造、大桥路改造、井冈山路、文化路公铁立交、雪湖大街、鹿鸣路、山财大街路面整修、龙潭大街路面整修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92" w:hRule="atLeast"/>
        </w:trPr>
        <w:tc>
          <w:tcPr>
            <w:tcW w:w="348" w:type="pct"/>
            <w:vMerge w:val="continue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2024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五条高铁衔接线、长勺路改造、龙潭大街东延、凤城西大街改造、花园路改造、鹏泉大街西延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85" w:hRule="atLeast"/>
        </w:trPr>
        <w:tc>
          <w:tcPr>
            <w:tcW w:w="348" w:type="pct"/>
            <w:vMerge w:val="continue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2025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凤凰路北延、长勺路北延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42" w:hRule="atLeast"/>
        </w:trPr>
        <w:tc>
          <w:tcPr>
            <w:tcW w:w="348" w:type="pct"/>
            <w:vMerge w:val="restar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县</w:t>
            </w:r>
          </w:p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乡道</w:t>
            </w: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2023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东姚线、牛石线、普南线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48" w:type="pct"/>
            <w:vMerge w:val="continue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2024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汇河大道、莱城大道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0" w:hRule="atLeast"/>
        </w:trPr>
        <w:tc>
          <w:tcPr>
            <w:tcW w:w="348" w:type="pct"/>
            <w:vMerge w:val="continue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</w:p>
        </w:tc>
        <w:tc>
          <w:tcPr>
            <w:tcW w:w="503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025</w:t>
            </w:r>
          </w:p>
        </w:tc>
        <w:tc>
          <w:tcPr>
            <w:tcW w:w="4149" w:type="pct"/>
            <w:noWrap/>
            <w:vAlign w:val="center"/>
          </w:tcPr>
          <w:p>
            <w:pPr>
              <w:pStyle w:val="25"/>
              <w:rPr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t>普雪线</w:t>
            </w:r>
          </w:p>
        </w:tc>
      </w:tr>
    </w:tbl>
    <w:p>
      <w:pPr>
        <w:pStyle w:val="25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5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p>
      <w:pPr>
        <w:pStyle w:val="25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tbl>
      <w:tblPr>
        <w:tblStyle w:val="1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04"/>
        <w:gridCol w:w="759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红线</w:t>
            </w:r>
          </w:p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宽度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推荐断面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6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米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0" distR="0">
                  <wp:extent cx="4438650" cy="1376045"/>
                  <wp:effectExtent l="0" t="0" r="0" b="0"/>
                  <wp:docPr id="134" name="图片 1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图片 133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80" t="20451" r="4053" b="1099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455169" cy="1381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米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0" distR="0">
                  <wp:extent cx="4531995" cy="1564640"/>
                  <wp:effectExtent l="0" t="0" r="1905" b="0"/>
                  <wp:docPr id="136" name="图片 1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" name="图片 135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291" t="10258" r="5466" b="157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55153" cy="15728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4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0</w:t>
            </w: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米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0" distR="0">
                  <wp:extent cx="4324985" cy="1601470"/>
                  <wp:effectExtent l="0" t="0" r="0" b="0"/>
                  <wp:docPr id="161" name="图片 1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1" name="图片 160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989" t="24154" r="15050" b="145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42625" cy="16082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米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drawing>
                <wp:inline distT="0" distB="0" distL="0" distR="0">
                  <wp:extent cx="4380865" cy="1659890"/>
                  <wp:effectExtent l="0" t="0" r="635" b="0"/>
                  <wp:docPr id="5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653" b="125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9572" cy="166692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2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米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inline distT="0" distB="0" distL="0" distR="0">
                  <wp:extent cx="3429635" cy="1359535"/>
                  <wp:effectExtent l="0" t="0" r="0" b="0"/>
                  <wp:docPr id="1317865950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17865950" name="图片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84" t="12740" r="9064" b="121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46848" cy="136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04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1</w:t>
            </w:r>
            <w:r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5</w:t>
            </w:r>
            <w:r>
              <w:rPr>
                <w:rFonts w:hint="eastAsia"/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  <w:t>米</w:t>
            </w:r>
          </w:p>
        </w:tc>
        <w:tc>
          <w:tcPr>
            <w:tcW w:w="7592" w:type="dxa"/>
            <w:vAlign w:val="center"/>
          </w:tcPr>
          <w:p>
            <w:pPr>
              <w:pStyle w:val="25"/>
              <w:rPr>
                <w:color w:val="000000" w:themeColor="text1"/>
                <w14:textFill>
                  <w14:solidFill>
                    <w14:schemeClr w14:val="tx1"/>
                  </w14:solidFill>
                </w14:textFill>
              </w:rPr>
            </w:pPr>
            <w:r>
              <w:drawing>
                <wp:inline distT="0" distB="0" distL="0" distR="0">
                  <wp:extent cx="2342515" cy="1303020"/>
                  <wp:effectExtent l="0" t="0" r="635" b="0"/>
                  <wp:docPr id="1954941103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4941103" name="图片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589" t="25433" r="27940" b="149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45529" cy="13049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pStyle w:val="25"/>
        <w:jc w:val="left"/>
        <w:rPr>
          <w:color w:val="000000" w:themeColor="text1"/>
          <w14:textFill>
            <w14:solidFill>
              <w14:schemeClr w14:val="tx1"/>
            </w14:solidFill>
          </w14:textFill>
        </w:rPr>
      </w:pPr>
    </w:p>
    <w:sectPr>
      <w:headerReference r:id="rId7" w:type="first"/>
      <w:footerReference r:id="rId10" w:type="first"/>
      <w:headerReference r:id="rId5" w:type="default"/>
      <w:footerReference r:id="rId8" w:type="default"/>
      <w:headerReference r:id="rId6" w:type="even"/>
      <w:footerReference r:id="rId9" w:type="even"/>
      <w:pgSz w:w="11906" w:h="16838"/>
      <w:pgMar w:top="1440" w:right="1800" w:bottom="1440" w:left="1800" w:header="851" w:footer="992" w:gutter="0"/>
      <w:pgNumType w:start="1"/>
      <w:cols w:space="425" w:num="1"/>
      <w:docGrid w:type="lines" w:linePitch="312" w:charSpace="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  <w:ind w:firstLine="560"/>
      </w:pPr>
      <w:r>
        <w:separator/>
      </w:r>
    </w:p>
  </w:endnote>
  <w:endnote w:type="continuationSeparator" w:id="1">
    <w:p>
      <w:pPr>
        <w:spacing w:line="240" w:lineRule="auto"/>
        <w:ind w:firstLine="56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楷体_GB2312">
    <w:panose1 w:val="02010609030101010101"/>
    <w:charset w:val="86"/>
    <w:family w:val="modern"/>
    <w:pitch w:val="default"/>
    <w:sig w:usb0="00000001" w:usb1="080E0000" w:usb2="00000000" w:usb3="00000000" w:csb0="00040000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  <w:font w:name="方正小标宋简体">
    <w:panose1 w:val="02010601030101010101"/>
    <w:charset w:val="86"/>
    <w:family w:val="script"/>
    <w:pitch w:val="default"/>
    <w:sig w:usb0="00000001" w:usb1="080E0000" w:usb2="00000000" w:usb3="00000000" w:csb0="00040000" w:csb1="00000000"/>
  </w:font>
  <w:font w:name="华文仿宋">
    <w:panose1 w:val="02010600040101010101"/>
    <w:charset w:val="86"/>
    <w:family w:val="auto"/>
    <w:pitch w:val="default"/>
    <w:sig w:usb0="00000287" w:usb1="080F0000" w:usb2="00000000" w:usb3="00000000" w:csb0="0004009F" w:csb1="DFD7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501192383"/>
    </w:sdtPr>
    <w:sdtContent>
      <w:p>
        <w:pPr>
          <w:pStyle w:val="9"/>
          <w:ind w:firstLine="360"/>
          <w:jc w:val="center"/>
        </w:pPr>
        <w:r>
          <w:rPr>
            <w:rFonts w:hint="eastAsia"/>
          </w:rPr>
          <w:t>-</w:t>
        </w:r>
        <w:r>
          <w:fldChar w:fldCharType="begin"/>
        </w:r>
        <w:r>
          <w:instrText xml:space="preserve">PAGE   \* MERGEFORMAT</w:instrText>
        </w:r>
        <w:r>
          <w:fldChar w:fldCharType="separate"/>
        </w:r>
        <w:r>
          <w:rPr>
            <w:lang w:val="zh-CN"/>
          </w:rPr>
          <w:t>22</w:t>
        </w:r>
        <w:r>
          <w:fldChar w:fldCharType="end"/>
        </w:r>
        <w:r>
          <w:rPr>
            <w:rFonts w:hint="eastAsia"/>
          </w:rPr>
          <w:t>-</w:t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9"/>
      <w:ind w:firstLine="360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360" w:lineRule="auto"/>
        <w:ind w:firstLine="560"/>
      </w:pPr>
      <w:r>
        <w:separator/>
      </w:r>
    </w:p>
  </w:footnote>
  <w:footnote w:type="continuationSeparator" w:id="1">
    <w:p>
      <w:pPr>
        <w:spacing w:line="360" w:lineRule="auto"/>
        <w:ind w:firstLine="56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Bdr>
        <w:bottom w:val="thinThickSmallGap" w:color="auto" w:sz="12" w:space="1"/>
      </w:pBdr>
      <w:spacing w:line="240" w:lineRule="auto"/>
      <w:ind w:firstLine="0" w:firstLineChars="0"/>
      <w:jc w:val="center"/>
      <w:rPr>
        <w:sz w:val="24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10"/>
      <w:ind w:firstLine="360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F4D7D1A"/>
    <w:multiLevelType w:val="multilevel"/>
    <w:tmpl w:val="7F4D7D1A"/>
    <w:lvl w:ilvl="0" w:tentative="0">
      <w:start w:val="1"/>
      <w:numFmt w:val="decimal"/>
      <w:lvlText w:val="%1."/>
      <w:lvlJc w:val="left"/>
      <w:pPr>
        <w:ind w:left="1000" w:hanging="440"/>
      </w:pPr>
    </w:lvl>
    <w:lvl w:ilvl="1" w:tentative="0">
      <w:start w:val="1"/>
      <w:numFmt w:val="lowerLetter"/>
      <w:lvlText w:val="%2)"/>
      <w:lvlJc w:val="left"/>
      <w:pPr>
        <w:ind w:left="1440" w:hanging="440"/>
      </w:pPr>
    </w:lvl>
    <w:lvl w:ilvl="2" w:tentative="0">
      <w:start w:val="1"/>
      <w:numFmt w:val="lowerRoman"/>
      <w:lvlText w:val="%3."/>
      <w:lvlJc w:val="right"/>
      <w:pPr>
        <w:ind w:left="1880" w:hanging="440"/>
      </w:pPr>
    </w:lvl>
    <w:lvl w:ilvl="3" w:tentative="0">
      <w:start w:val="1"/>
      <w:numFmt w:val="decimal"/>
      <w:lvlText w:val="%4."/>
      <w:lvlJc w:val="left"/>
      <w:pPr>
        <w:ind w:left="2320" w:hanging="440"/>
      </w:pPr>
    </w:lvl>
    <w:lvl w:ilvl="4" w:tentative="0">
      <w:start w:val="1"/>
      <w:numFmt w:val="lowerLetter"/>
      <w:lvlText w:val="%5)"/>
      <w:lvlJc w:val="left"/>
      <w:pPr>
        <w:ind w:left="2760" w:hanging="440"/>
      </w:pPr>
    </w:lvl>
    <w:lvl w:ilvl="5" w:tentative="0">
      <w:start w:val="1"/>
      <w:numFmt w:val="lowerRoman"/>
      <w:lvlText w:val="%6."/>
      <w:lvlJc w:val="right"/>
      <w:pPr>
        <w:ind w:left="3200" w:hanging="440"/>
      </w:pPr>
    </w:lvl>
    <w:lvl w:ilvl="6" w:tentative="0">
      <w:start w:val="1"/>
      <w:numFmt w:val="decimal"/>
      <w:lvlText w:val="%7."/>
      <w:lvlJc w:val="left"/>
      <w:pPr>
        <w:ind w:left="3640" w:hanging="440"/>
      </w:pPr>
    </w:lvl>
    <w:lvl w:ilvl="7" w:tentative="0">
      <w:start w:val="1"/>
      <w:numFmt w:val="lowerLetter"/>
      <w:lvlText w:val="%8)"/>
      <w:lvlJc w:val="left"/>
      <w:pPr>
        <w:ind w:left="4080" w:hanging="440"/>
      </w:pPr>
    </w:lvl>
    <w:lvl w:ilvl="8" w:tentative="0">
      <w:start w:val="1"/>
      <w:numFmt w:val="lowerRoman"/>
      <w:lvlText w:val="%9."/>
      <w:lvlJc w:val="right"/>
      <w:pPr>
        <w:ind w:left="4520" w:hanging="44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ZGJiMmE4ZmVkZDcyM2U4NzJlNzU5YjcxM2Q1NzU0MjIifQ=="/>
  </w:docVars>
  <w:rsids>
    <w:rsidRoot w:val="00F06A76"/>
    <w:rsid w:val="000040DE"/>
    <w:rsid w:val="0000774E"/>
    <w:rsid w:val="0001521D"/>
    <w:rsid w:val="00016604"/>
    <w:rsid w:val="0001687E"/>
    <w:rsid w:val="0002209F"/>
    <w:rsid w:val="000222E8"/>
    <w:rsid w:val="00022A9D"/>
    <w:rsid w:val="0003670D"/>
    <w:rsid w:val="000402BA"/>
    <w:rsid w:val="00043EF4"/>
    <w:rsid w:val="00045641"/>
    <w:rsid w:val="00045665"/>
    <w:rsid w:val="000510D1"/>
    <w:rsid w:val="00055807"/>
    <w:rsid w:val="00062788"/>
    <w:rsid w:val="0006322C"/>
    <w:rsid w:val="00066601"/>
    <w:rsid w:val="00066BA7"/>
    <w:rsid w:val="00067D7A"/>
    <w:rsid w:val="00073FA4"/>
    <w:rsid w:val="000825B3"/>
    <w:rsid w:val="00083B0F"/>
    <w:rsid w:val="00087A77"/>
    <w:rsid w:val="00091E8F"/>
    <w:rsid w:val="00094454"/>
    <w:rsid w:val="000962D6"/>
    <w:rsid w:val="00096692"/>
    <w:rsid w:val="00097412"/>
    <w:rsid w:val="000A7E26"/>
    <w:rsid w:val="000B3300"/>
    <w:rsid w:val="000C412C"/>
    <w:rsid w:val="000D4519"/>
    <w:rsid w:val="000D467C"/>
    <w:rsid w:val="000D5537"/>
    <w:rsid w:val="000E06BC"/>
    <w:rsid w:val="000E2B03"/>
    <w:rsid w:val="000E6363"/>
    <w:rsid w:val="000F1287"/>
    <w:rsid w:val="000F67DF"/>
    <w:rsid w:val="000F6A68"/>
    <w:rsid w:val="00102C0C"/>
    <w:rsid w:val="00106534"/>
    <w:rsid w:val="00110393"/>
    <w:rsid w:val="00110629"/>
    <w:rsid w:val="00111438"/>
    <w:rsid w:val="001118E9"/>
    <w:rsid w:val="00123020"/>
    <w:rsid w:val="001230AD"/>
    <w:rsid w:val="001473C8"/>
    <w:rsid w:val="00150D14"/>
    <w:rsid w:val="00153F12"/>
    <w:rsid w:val="00155398"/>
    <w:rsid w:val="001572AD"/>
    <w:rsid w:val="00157A2E"/>
    <w:rsid w:val="00165353"/>
    <w:rsid w:val="001653AA"/>
    <w:rsid w:val="00165F1E"/>
    <w:rsid w:val="00166A9A"/>
    <w:rsid w:val="001670F9"/>
    <w:rsid w:val="00172643"/>
    <w:rsid w:val="00176D62"/>
    <w:rsid w:val="00177BDC"/>
    <w:rsid w:val="00181E08"/>
    <w:rsid w:val="00183793"/>
    <w:rsid w:val="00184152"/>
    <w:rsid w:val="001864CC"/>
    <w:rsid w:val="001929DA"/>
    <w:rsid w:val="0019532C"/>
    <w:rsid w:val="0019556C"/>
    <w:rsid w:val="001976D7"/>
    <w:rsid w:val="001A20D6"/>
    <w:rsid w:val="001A4D89"/>
    <w:rsid w:val="001B0328"/>
    <w:rsid w:val="001B06E9"/>
    <w:rsid w:val="001B1384"/>
    <w:rsid w:val="001C06BA"/>
    <w:rsid w:val="001C3365"/>
    <w:rsid w:val="001E7A51"/>
    <w:rsid w:val="001F24A2"/>
    <w:rsid w:val="001F3793"/>
    <w:rsid w:val="001F7072"/>
    <w:rsid w:val="00205960"/>
    <w:rsid w:val="0020688A"/>
    <w:rsid w:val="00207E2C"/>
    <w:rsid w:val="00212215"/>
    <w:rsid w:val="00222C0B"/>
    <w:rsid w:val="00225084"/>
    <w:rsid w:val="00226BB8"/>
    <w:rsid w:val="00227589"/>
    <w:rsid w:val="00230A26"/>
    <w:rsid w:val="00240E42"/>
    <w:rsid w:val="00240FE5"/>
    <w:rsid w:val="0024733A"/>
    <w:rsid w:val="00247C14"/>
    <w:rsid w:val="00247F53"/>
    <w:rsid w:val="00262619"/>
    <w:rsid w:val="002671C7"/>
    <w:rsid w:val="00280509"/>
    <w:rsid w:val="00282F0F"/>
    <w:rsid w:val="002836A7"/>
    <w:rsid w:val="00284691"/>
    <w:rsid w:val="002866B0"/>
    <w:rsid w:val="00292001"/>
    <w:rsid w:val="002948DD"/>
    <w:rsid w:val="002A337A"/>
    <w:rsid w:val="002A6982"/>
    <w:rsid w:val="002B3074"/>
    <w:rsid w:val="002B79D0"/>
    <w:rsid w:val="002C0F4C"/>
    <w:rsid w:val="002C4CB5"/>
    <w:rsid w:val="002C5ED9"/>
    <w:rsid w:val="002C7A2B"/>
    <w:rsid w:val="002D1970"/>
    <w:rsid w:val="002D36B1"/>
    <w:rsid w:val="002D42F1"/>
    <w:rsid w:val="002D738F"/>
    <w:rsid w:val="002E3AAF"/>
    <w:rsid w:val="002E725F"/>
    <w:rsid w:val="002F153F"/>
    <w:rsid w:val="002F360B"/>
    <w:rsid w:val="002F66CB"/>
    <w:rsid w:val="002F6916"/>
    <w:rsid w:val="002F6D7B"/>
    <w:rsid w:val="00307795"/>
    <w:rsid w:val="00314193"/>
    <w:rsid w:val="00314FCB"/>
    <w:rsid w:val="00322F5D"/>
    <w:rsid w:val="00326CAF"/>
    <w:rsid w:val="00332C80"/>
    <w:rsid w:val="003354A9"/>
    <w:rsid w:val="003360C1"/>
    <w:rsid w:val="00342949"/>
    <w:rsid w:val="00347D75"/>
    <w:rsid w:val="00356358"/>
    <w:rsid w:val="00357255"/>
    <w:rsid w:val="00357421"/>
    <w:rsid w:val="00363F9C"/>
    <w:rsid w:val="003658D0"/>
    <w:rsid w:val="003664CC"/>
    <w:rsid w:val="0037363B"/>
    <w:rsid w:val="00373EF7"/>
    <w:rsid w:val="00380536"/>
    <w:rsid w:val="003855C4"/>
    <w:rsid w:val="00385B9A"/>
    <w:rsid w:val="00390725"/>
    <w:rsid w:val="003A0DB9"/>
    <w:rsid w:val="003A7A02"/>
    <w:rsid w:val="003B1D1F"/>
    <w:rsid w:val="003B2A3B"/>
    <w:rsid w:val="003C149E"/>
    <w:rsid w:val="003C2141"/>
    <w:rsid w:val="003C5608"/>
    <w:rsid w:val="003C5C04"/>
    <w:rsid w:val="003D0666"/>
    <w:rsid w:val="003D65B4"/>
    <w:rsid w:val="003D6839"/>
    <w:rsid w:val="003E2F53"/>
    <w:rsid w:val="003E50BF"/>
    <w:rsid w:val="003E55CA"/>
    <w:rsid w:val="003E67CA"/>
    <w:rsid w:val="003F2D4F"/>
    <w:rsid w:val="003F492F"/>
    <w:rsid w:val="00400569"/>
    <w:rsid w:val="0040453D"/>
    <w:rsid w:val="00405739"/>
    <w:rsid w:val="004057A4"/>
    <w:rsid w:val="004149B9"/>
    <w:rsid w:val="004277C4"/>
    <w:rsid w:val="00432F96"/>
    <w:rsid w:val="00441CC6"/>
    <w:rsid w:val="00442DF1"/>
    <w:rsid w:val="00443454"/>
    <w:rsid w:val="00453E0A"/>
    <w:rsid w:val="00454810"/>
    <w:rsid w:val="0045668F"/>
    <w:rsid w:val="00461241"/>
    <w:rsid w:val="004653E3"/>
    <w:rsid w:val="00466636"/>
    <w:rsid w:val="00466FBF"/>
    <w:rsid w:val="00476FFA"/>
    <w:rsid w:val="00477C12"/>
    <w:rsid w:val="00481F79"/>
    <w:rsid w:val="0048317B"/>
    <w:rsid w:val="004842E0"/>
    <w:rsid w:val="00484F16"/>
    <w:rsid w:val="004901F5"/>
    <w:rsid w:val="004913F7"/>
    <w:rsid w:val="00493CBF"/>
    <w:rsid w:val="004943D8"/>
    <w:rsid w:val="004A0E2B"/>
    <w:rsid w:val="004A13BF"/>
    <w:rsid w:val="004A1CA6"/>
    <w:rsid w:val="004A1E31"/>
    <w:rsid w:val="004D65D0"/>
    <w:rsid w:val="004E4583"/>
    <w:rsid w:val="004F3EB3"/>
    <w:rsid w:val="004F55FF"/>
    <w:rsid w:val="004F56FA"/>
    <w:rsid w:val="004F6A52"/>
    <w:rsid w:val="005140BE"/>
    <w:rsid w:val="00526C63"/>
    <w:rsid w:val="00530E75"/>
    <w:rsid w:val="00535583"/>
    <w:rsid w:val="00537C20"/>
    <w:rsid w:val="00543619"/>
    <w:rsid w:val="0055272E"/>
    <w:rsid w:val="0055493D"/>
    <w:rsid w:val="005567EC"/>
    <w:rsid w:val="00565D74"/>
    <w:rsid w:val="00566173"/>
    <w:rsid w:val="00572604"/>
    <w:rsid w:val="005742D6"/>
    <w:rsid w:val="0058300B"/>
    <w:rsid w:val="005835CC"/>
    <w:rsid w:val="00593EC3"/>
    <w:rsid w:val="00594383"/>
    <w:rsid w:val="00594DEA"/>
    <w:rsid w:val="00596F52"/>
    <w:rsid w:val="00597341"/>
    <w:rsid w:val="005A123E"/>
    <w:rsid w:val="005A14FA"/>
    <w:rsid w:val="005B236F"/>
    <w:rsid w:val="005B3DDC"/>
    <w:rsid w:val="005B44BC"/>
    <w:rsid w:val="005D0D0F"/>
    <w:rsid w:val="005E0026"/>
    <w:rsid w:val="005E16E7"/>
    <w:rsid w:val="005F14DA"/>
    <w:rsid w:val="005F476D"/>
    <w:rsid w:val="00600228"/>
    <w:rsid w:val="00610B36"/>
    <w:rsid w:val="00613896"/>
    <w:rsid w:val="00631020"/>
    <w:rsid w:val="00634318"/>
    <w:rsid w:val="00643978"/>
    <w:rsid w:val="00646F12"/>
    <w:rsid w:val="0065251F"/>
    <w:rsid w:val="006545E3"/>
    <w:rsid w:val="00655402"/>
    <w:rsid w:val="006615B6"/>
    <w:rsid w:val="00662996"/>
    <w:rsid w:val="0067045F"/>
    <w:rsid w:val="00672FCC"/>
    <w:rsid w:val="00675ECD"/>
    <w:rsid w:val="0067764F"/>
    <w:rsid w:val="00680E52"/>
    <w:rsid w:val="00681657"/>
    <w:rsid w:val="00682205"/>
    <w:rsid w:val="006823AD"/>
    <w:rsid w:val="00683E6E"/>
    <w:rsid w:val="00690E5C"/>
    <w:rsid w:val="00691E81"/>
    <w:rsid w:val="00692499"/>
    <w:rsid w:val="00695389"/>
    <w:rsid w:val="00695E7D"/>
    <w:rsid w:val="00697D43"/>
    <w:rsid w:val="006A0848"/>
    <w:rsid w:val="006A0FA1"/>
    <w:rsid w:val="006B3B60"/>
    <w:rsid w:val="006C07AB"/>
    <w:rsid w:val="006C23FF"/>
    <w:rsid w:val="006C442A"/>
    <w:rsid w:val="006C4562"/>
    <w:rsid w:val="006D31F1"/>
    <w:rsid w:val="006E095E"/>
    <w:rsid w:val="006F2D68"/>
    <w:rsid w:val="007037EB"/>
    <w:rsid w:val="00703B3A"/>
    <w:rsid w:val="00704755"/>
    <w:rsid w:val="00713E06"/>
    <w:rsid w:val="00714B61"/>
    <w:rsid w:val="00715EED"/>
    <w:rsid w:val="00723872"/>
    <w:rsid w:val="00725130"/>
    <w:rsid w:val="007276EB"/>
    <w:rsid w:val="00731A16"/>
    <w:rsid w:val="00733A22"/>
    <w:rsid w:val="00733BD3"/>
    <w:rsid w:val="007360D6"/>
    <w:rsid w:val="007444D2"/>
    <w:rsid w:val="007459D3"/>
    <w:rsid w:val="00757A42"/>
    <w:rsid w:val="007605B9"/>
    <w:rsid w:val="007605E0"/>
    <w:rsid w:val="00766948"/>
    <w:rsid w:val="00772BAD"/>
    <w:rsid w:val="00776A8D"/>
    <w:rsid w:val="00777043"/>
    <w:rsid w:val="00780262"/>
    <w:rsid w:val="00781D4B"/>
    <w:rsid w:val="00796894"/>
    <w:rsid w:val="007A2B35"/>
    <w:rsid w:val="007A456D"/>
    <w:rsid w:val="007C28C2"/>
    <w:rsid w:val="007C2F93"/>
    <w:rsid w:val="007C6E5A"/>
    <w:rsid w:val="007C782A"/>
    <w:rsid w:val="007D3692"/>
    <w:rsid w:val="007D4988"/>
    <w:rsid w:val="007E1100"/>
    <w:rsid w:val="007E3336"/>
    <w:rsid w:val="007E42F3"/>
    <w:rsid w:val="007E6AF0"/>
    <w:rsid w:val="007E7AB3"/>
    <w:rsid w:val="008020A4"/>
    <w:rsid w:val="008023E7"/>
    <w:rsid w:val="00803549"/>
    <w:rsid w:val="00803C29"/>
    <w:rsid w:val="00806C4B"/>
    <w:rsid w:val="00820B73"/>
    <w:rsid w:val="008236ED"/>
    <w:rsid w:val="00823E94"/>
    <w:rsid w:val="00824375"/>
    <w:rsid w:val="00842BBE"/>
    <w:rsid w:val="008467B3"/>
    <w:rsid w:val="008479F5"/>
    <w:rsid w:val="0085021C"/>
    <w:rsid w:val="00852A29"/>
    <w:rsid w:val="00853655"/>
    <w:rsid w:val="00853C7C"/>
    <w:rsid w:val="00853F9A"/>
    <w:rsid w:val="0085622E"/>
    <w:rsid w:val="00857FFD"/>
    <w:rsid w:val="00861C65"/>
    <w:rsid w:val="00862D16"/>
    <w:rsid w:val="00864A70"/>
    <w:rsid w:val="00867E4F"/>
    <w:rsid w:val="008700CB"/>
    <w:rsid w:val="00877B1A"/>
    <w:rsid w:val="00882105"/>
    <w:rsid w:val="00885A96"/>
    <w:rsid w:val="008866C4"/>
    <w:rsid w:val="00895F79"/>
    <w:rsid w:val="0089661E"/>
    <w:rsid w:val="008A4E6E"/>
    <w:rsid w:val="008B6C0B"/>
    <w:rsid w:val="008C069C"/>
    <w:rsid w:val="008C1D58"/>
    <w:rsid w:val="008C2C19"/>
    <w:rsid w:val="008D14F5"/>
    <w:rsid w:val="008D5321"/>
    <w:rsid w:val="008E1703"/>
    <w:rsid w:val="008E35CD"/>
    <w:rsid w:val="008F086C"/>
    <w:rsid w:val="008F19DF"/>
    <w:rsid w:val="008F5425"/>
    <w:rsid w:val="008F64D6"/>
    <w:rsid w:val="00900122"/>
    <w:rsid w:val="0090748E"/>
    <w:rsid w:val="0091441A"/>
    <w:rsid w:val="009239B1"/>
    <w:rsid w:val="0093050D"/>
    <w:rsid w:val="009312FD"/>
    <w:rsid w:val="00933F5F"/>
    <w:rsid w:val="00937E2D"/>
    <w:rsid w:val="009404DF"/>
    <w:rsid w:val="0094115E"/>
    <w:rsid w:val="009424FE"/>
    <w:rsid w:val="00944930"/>
    <w:rsid w:val="009463DA"/>
    <w:rsid w:val="00947EFA"/>
    <w:rsid w:val="00956648"/>
    <w:rsid w:val="00965053"/>
    <w:rsid w:val="009725E2"/>
    <w:rsid w:val="00975E23"/>
    <w:rsid w:val="00982A79"/>
    <w:rsid w:val="00983DA6"/>
    <w:rsid w:val="00986F83"/>
    <w:rsid w:val="0099020B"/>
    <w:rsid w:val="0099095D"/>
    <w:rsid w:val="00990FB7"/>
    <w:rsid w:val="00992A8E"/>
    <w:rsid w:val="009A0A39"/>
    <w:rsid w:val="009A1274"/>
    <w:rsid w:val="009B1511"/>
    <w:rsid w:val="009B3A13"/>
    <w:rsid w:val="009B7482"/>
    <w:rsid w:val="009C1620"/>
    <w:rsid w:val="009C44DB"/>
    <w:rsid w:val="009C5D6A"/>
    <w:rsid w:val="009C7F7D"/>
    <w:rsid w:val="009D0BDE"/>
    <w:rsid w:val="009E39BC"/>
    <w:rsid w:val="009E730E"/>
    <w:rsid w:val="009E76DD"/>
    <w:rsid w:val="00A066D7"/>
    <w:rsid w:val="00A14A78"/>
    <w:rsid w:val="00A20094"/>
    <w:rsid w:val="00A2510B"/>
    <w:rsid w:val="00A265B6"/>
    <w:rsid w:val="00A4057C"/>
    <w:rsid w:val="00A45287"/>
    <w:rsid w:val="00A45B03"/>
    <w:rsid w:val="00A51396"/>
    <w:rsid w:val="00A55A4A"/>
    <w:rsid w:val="00A61097"/>
    <w:rsid w:val="00A6109B"/>
    <w:rsid w:val="00A61C38"/>
    <w:rsid w:val="00A7543D"/>
    <w:rsid w:val="00A77604"/>
    <w:rsid w:val="00A80A85"/>
    <w:rsid w:val="00A81D76"/>
    <w:rsid w:val="00A84039"/>
    <w:rsid w:val="00A87690"/>
    <w:rsid w:val="00A902DB"/>
    <w:rsid w:val="00A904FC"/>
    <w:rsid w:val="00AA4884"/>
    <w:rsid w:val="00AA7E46"/>
    <w:rsid w:val="00AB3CC3"/>
    <w:rsid w:val="00AB4C18"/>
    <w:rsid w:val="00AB7382"/>
    <w:rsid w:val="00AC1708"/>
    <w:rsid w:val="00AC7C48"/>
    <w:rsid w:val="00AD6009"/>
    <w:rsid w:val="00AE12FD"/>
    <w:rsid w:val="00AE204C"/>
    <w:rsid w:val="00AF4BEC"/>
    <w:rsid w:val="00B01A08"/>
    <w:rsid w:val="00B03766"/>
    <w:rsid w:val="00B052F0"/>
    <w:rsid w:val="00B072C7"/>
    <w:rsid w:val="00B16B5C"/>
    <w:rsid w:val="00B16C59"/>
    <w:rsid w:val="00B16E18"/>
    <w:rsid w:val="00B217C6"/>
    <w:rsid w:val="00B21E5E"/>
    <w:rsid w:val="00B2224A"/>
    <w:rsid w:val="00B236E7"/>
    <w:rsid w:val="00B24094"/>
    <w:rsid w:val="00B25455"/>
    <w:rsid w:val="00B26A07"/>
    <w:rsid w:val="00B2794B"/>
    <w:rsid w:val="00B3766F"/>
    <w:rsid w:val="00B4304B"/>
    <w:rsid w:val="00B44699"/>
    <w:rsid w:val="00B53984"/>
    <w:rsid w:val="00B57483"/>
    <w:rsid w:val="00B67956"/>
    <w:rsid w:val="00B71616"/>
    <w:rsid w:val="00B8101B"/>
    <w:rsid w:val="00B81D0E"/>
    <w:rsid w:val="00B83808"/>
    <w:rsid w:val="00B87003"/>
    <w:rsid w:val="00B93932"/>
    <w:rsid w:val="00B95C50"/>
    <w:rsid w:val="00BA339A"/>
    <w:rsid w:val="00BA6715"/>
    <w:rsid w:val="00BB2C0C"/>
    <w:rsid w:val="00BB55B9"/>
    <w:rsid w:val="00BB7040"/>
    <w:rsid w:val="00BC0E07"/>
    <w:rsid w:val="00BC710F"/>
    <w:rsid w:val="00BD45B6"/>
    <w:rsid w:val="00BF5128"/>
    <w:rsid w:val="00C02E8B"/>
    <w:rsid w:val="00C042FE"/>
    <w:rsid w:val="00C10F3F"/>
    <w:rsid w:val="00C1258F"/>
    <w:rsid w:val="00C20E95"/>
    <w:rsid w:val="00C21E45"/>
    <w:rsid w:val="00C244F8"/>
    <w:rsid w:val="00C254CD"/>
    <w:rsid w:val="00C259B6"/>
    <w:rsid w:val="00C2680F"/>
    <w:rsid w:val="00C3410D"/>
    <w:rsid w:val="00C34297"/>
    <w:rsid w:val="00C348E6"/>
    <w:rsid w:val="00C34D1A"/>
    <w:rsid w:val="00C451B0"/>
    <w:rsid w:val="00C46D57"/>
    <w:rsid w:val="00C55A07"/>
    <w:rsid w:val="00C57122"/>
    <w:rsid w:val="00C57E82"/>
    <w:rsid w:val="00C614C8"/>
    <w:rsid w:val="00C61E33"/>
    <w:rsid w:val="00C62C52"/>
    <w:rsid w:val="00C658E7"/>
    <w:rsid w:val="00C72463"/>
    <w:rsid w:val="00C72EAB"/>
    <w:rsid w:val="00C75B56"/>
    <w:rsid w:val="00C763EE"/>
    <w:rsid w:val="00C82419"/>
    <w:rsid w:val="00C82F84"/>
    <w:rsid w:val="00CB3280"/>
    <w:rsid w:val="00CB77E8"/>
    <w:rsid w:val="00CC179A"/>
    <w:rsid w:val="00CC1BD1"/>
    <w:rsid w:val="00CC61E1"/>
    <w:rsid w:val="00CC7ACB"/>
    <w:rsid w:val="00CD1167"/>
    <w:rsid w:val="00CD1602"/>
    <w:rsid w:val="00CD36CA"/>
    <w:rsid w:val="00CD5EA7"/>
    <w:rsid w:val="00CF1A6C"/>
    <w:rsid w:val="00CF548A"/>
    <w:rsid w:val="00CF6E4F"/>
    <w:rsid w:val="00D00FFF"/>
    <w:rsid w:val="00D10452"/>
    <w:rsid w:val="00D140EE"/>
    <w:rsid w:val="00D171B8"/>
    <w:rsid w:val="00D17A75"/>
    <w:rsid w:val="00D2223D"/>
    <w:rsid w:val="00D275AB"/>
    <w:rsid w:val="00D336AA"/>
    <w:rsid w:val="00D33811"/>
    <w:rsid w:val="00D358F2"/>
    <w:rsid w:val="00D35C23"/>
    <w:rsid w:val="00D427B0"/>
    <w:rsid w:val="00D458A0"/>
    <w:rsid w:val="00D47132"/>
    <w:rsid w:val="00D478DF"/>
    <w:rsid w:val="00D505AC"/>
    <w:rsid w:val="00D5654F"/>
    <w:rsid w:val="00D629F9"/>
    <w:rsid w:val="00D72894"/>
    <w:rsid w:val="00D73F41"/>
    <w:rsid w:val="00D74417"/>
    <w:rsid w:val="00D83F5D"/>
    <w:rsid w:val="00D85E10"/>
    <w:rsid w:val="00D87289"/>
    <w:rsid w:val="00DA006F"/>
    <w:rsid w:val="00DA43FA"/>
    <w:rsid w:val="00DA5586"/>
    <w:rsid w:val="00DA6158"/>
    <w:rsid w:val="00DB2375"/>
    <w:rsid w:val="00DB6A46"/>
    <w:rsid w:val="00DB7C49"/>
    <w:rsid w:val="00DC0327"/>
    <w:rsid w:val="00DC162C"/>
    <w:rsid w:val="00DC1A5B"/>
    <w:rsid w:val="00DC4CFF"/>
    <w:rsid w:val="00DC4E7B"/>
    <w:rsid w:val="00DD10DD"/>
    <w:rsid w:val="00DD410C"/>
    <w:rsid w:val="00DE02FC"/>
    <w:rsid w:val="00DE543F"/>
    <w:rsid w:val="00DF2110"/>
    <w:rsid w:val="00DF374C"/>
    <w:rsid w:val="00E06E79"/>
    <w:rsid w:val="00E07155"/>
    <w:rsid w:val="00E10CDB"/>
    <w:rsid w:val="00E12B71"/>
    <w:rsid w:val="00E17DD7"/>
    <w:rsid w:val="00E351B1"/>
    <w:rsid w:val="00E35D1E"/>
    <w:rsid w:val="00E364C9"/>
    <w:rsid w:val="00E4056D"/>
    <w:rsid w:val="00E40AC8"/>
    <w:rsid w:val="00E46540"/>
    <w:rsid w:val="00E4681C"/>
    <w:rsid w:val="00E46C20"/>
    <w:rsid w:val="00E5484B"/>
    <w:rsid w:val="00E6454D"/>
    <w:rsid w:val="00E70F36"/>
    <w:rsid w:val="00E70FF3"/>
    <w:rsid w:val="00E76E01"/>
    <w:rsid w:val="00E8072C"/>
    <w:rsid w:val="00E817D6"/>
    <w:rsid w:val="00E848D2"/>
    <w:rsid w:val="00E84974"/>
    <w:rsid w:val="00E9215A"/>
    <w:rsid w:val="00E93210"/>
    <w:rsid w:val="00E933DF"/>
    <w:rsid w:val="00E963BC"/>
    <w:rsid w:val="00EA0D90"/>
    <w:rsid w:val="00EB2C79"/>
    <w:rsid w:val="00EB6410"/>
    <w:rsid w:val="00EB6CA3"/>
    <w:rsid w:val="00EC5F9E"/>
    <w:rsid w:val="00EC7AF4"/>
    <w:rsid w:val="00ED0E5B"/>
    <w:rsid w:val="00ED1576"/>
    <w:rsid w:val="00ED5709"/>
    <w:rsid w:val="00EE31FA"/>
    <w:rsid w:val="00EE772A"/>
    <w:rsid w:val="00EF7C8F"/>
    <w:rsid w:val="00F0245C"/>
    <w:rsid w:val="00F02BD1"/>
    <w:rsid w:val="00F03F85"/>
    <w:rsid w:val="00F04851"/>
    <w:rsid w:val="00F04DFD"/>
    <w:rsid w:val="00F04F3A"/>
    <w:rsid w:val="00F06A76"/>
    <w:rsid w:val="00F1323B"/>
    <w:rsid w:val="00F14681"/>
    <w:rsid w:val="00F15E02"/>
    <w:rsid w:val="00F219A3"/>
    <w:rsid w:val="00F239AD"/>
    <w:rsid w:val="00F259B9"/>
    <w:rsid w:val="00F25B6B"/>
    <w:rsid w:val="00F27043"/>
    <w:rsid w:val="00F31403"/>
    <w:rsid w:val="00F3609F"/>
    <w:rsid w:val="00F362DC"/>
    <w:rsid w:val="00F373FD"/>
    <w:rsid w:val="00F378B3"/>
    <w:rsid w:val="00F43110"/>
    <w:rsid w:val="00F45CC6"/>
    <w:rsid w:val="00F47A3E"/>
    <w:rsid w:val="00F50971"/>
    <w:rsid w:val="00F63A45"/>
    <w:rsid w:val="00F649EA"/>
    <w:rsid w:val="00F67F4F"/>
    <w:rsid w:val="00F7596D"/>
    <w:rsid w:val="00F777ED"/>
    <w:rsid w:val="00F82205"/>
    <w:rsid w:val="00F861C0"/>
    <w:rsid w:val="00F900FC"/>
    <w:rsid w:val="00FA1EDC"/>
    <w:rsid w:val="00FA35B4"/>
    <w:rsid w:val="00FA3D50"/>
    <w:rsid w:val="00FA5D2F"/>
    <w:rsid w:val="00FB126E"/>
    <w:rsid w:val="00FB413E"/>
    <w:rsid w:val="00FB41F2"/>
    <w:rsid w:val="00FB482E"/>
    <w:rsid w:val="00FB5F3E"/>
    <w:rsid w:val="00FC5BF5"/>
    <w:rsid w:val="00FD3D8D"/>
    <w:rsid w:val="00FD3F01"/>
    <w:rsid w:val="00FD72C2"/>
    <w:rsid w:val="00FE7E1F"/>
    <w:rsid w:val="00FF18FA"/>
    <w:rsid w:val="00FF2417"/>
    <w:rsid w:val="00FF6030"/>
    <w:rsid w:val="00FF7FB3"/>
    <w:rsid w:val="0F7F00F1"/>
    <w:rsid w:val="2A951C23"/>
    <w:rsid w:val="2D5A3E9F"/>
    <w:rsid w:val="342B791C"/>
    <w:rsid w:val="41180CFB"/>
    <w:rsid w:val="4B23670A"/>
    <w:rsid w:val="57EE6152"/>
    <w:rsid w:val="6B2C79E4"/>
    <w:rsid w:val="6D694566"/>
    <w:rsid w:val="707C484F"/>
    <w:rsid w:val="7FE412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semiHidden="0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qFormat="1"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qFormat="1"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qFormat="1" w:unhideWhenUsed="0" w:uiPriority="3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spacing w:line="360" w:lineRule="auto"/>
      <w:ind w:firstLine="200" w:firstLineChars="200"/>
      <w:jc w:val="both"/>
    </w:pPr>
    <w:rPr>
      <w:rFonts w:ascii="Times New Roman" w:hAnsi="Times New Roman" w:eastAsia="仿宋_GB2312" w:cstheme="minorBidi"/>
      <w:kern w:val="2"/>
      <w:sz w:val="28"/>
      <w:szCs w:val="22"/>
      <w:lang w:val="en-US" w:eastAsia="zh-CN" w:bidi="ar-SA"/>
    </w:rPr>
  </w:style>
  <w:style w:type="paragraph" w:styleId="2">
    <w:name w:val="heading 1"/>
    <w:basedOn w:val="1"/>
    <w:next w:val="1"/>
    <w:link w:val="20"/>
    <w:qFormat/>
    <w:uiPriority w:val="9"/>
    <w:pPr>
      <w:keepNext/>
      <w:keepLines/>
      <w:spacing w:before="50" w:beforeLines="50" w:after="50" w:afterLines="50"/>
      <w:ind w:firstLine="0" w:firstLineChars="0"/>
      <w:jc w:val="left"/>
      <w:outlineLvl w:val="0"/>
    </w:pPr>
    <w:rPr>
      <w:rFonts w:eastAsia="黑体"/>
      <w:b/>
      <w:bCs/>
      <w:kern w:val="44"/>
      <w:sz w:val="32"/>
      <w:szCs w:val="44"/>
    </w:rPr>
  </w:style>
  <w:style w:type="paragraph" w:styleId="3">
    <w:name w:val="heading 2"/>
    <w:basedOn w:val="1"/>
    <w:next w:val="1"/>
    <w:link w:val="21"/>
    <w:unhideWhenUsed/>
    <w:qFormat/>
    <w:uiPriority w:val="9"/>
    <w:pPr>
      <w:keepNext/>
      <w:keepLines/>
      <w:spacing w:line="240" w:lineRule="auto"/>
      <w:ind w:firstLine="0" w:firstLineChars="0"/>
      <w:jc w:val="left"/>
      <w:outlineLvl w:val="1"/>
    </w:pPr>
    <w:rPr>
      <w:rFonts w:eastAsia="楷体_GB2312" w:cstheme="majorBidi"/>
      <w:b/>
      <w:bCs/>
      <w:sz w:val="30"/>
      <w:szCs w:val="32"/>
    </w:rPr>
  </w:style>
  <w:style w:type="paragraph" w:styleId="4">
    <w:name w:val="heading 3"/>
    <w:basedOn w:val="1"/>
    <w:next w:val="1"/>
    <w:link w:val="23"/>
    <w:unhideWhenUsed/>
    <w:qFormat/>
    <w:uiPriority w:val="9"/>
    <w:pPr>
      <w:keepNext/>
      <w:keepLines/>
      <w:spacing w:line="240" w:lineRule="auto"/>
      <w:ind w:firstLine="0" w:firstLineChars="0"/>
      <w:outlineLvl w:val="2"/>
    </w:pPr>
    <w:rPr>
      <w:b/>
      <w:bCs/>
      <w:szCs w:val="32"/>
    </w:rPr>
  </w:style>
  <w:style w:type="paragraph" w:styleId="5">
    <w:name w:val="heading 4"/>
    <w:basedOn w:val="1"/>
    <w:next w:val="1"/>
    <w:link w:val="24"/>
    <w:semiHidden/>
    <w:unhideWhenUsed/>
    <w:qFormat/>
    <w:uiPriority w:val="9"/>
    <w:pPr>
      <w:keepNext/>
      <w:keepLines/>
      <w:spacing w:before="120"/>
      <w:ind w:firstLine="0" w:firstLineChars="0"/>
      <w:jc w:val="center"/>
      <w:outlineLvl w:val="3"/>
    </w:pPr>
    <w:rPr>
      <w:rFonts w:cstheme="majorBidi"/>
      <w:b/>
      <w:bCs/>
      <w:sz w:val="21"/>
      <w:szCs w:val="28"/>
    </w:rPr>
  </w:style>
  <w:style w:type="character" w:default="1" w:styleId="17">
    <w:name w:val="Default Paragraph Font"/>
    <w:semiHidden/>
    <w:unhideWhenUsed/>
    <w:uiPriority w:val="1"/>
  </w:style>
  <w:style w:type="table" w:default="1" w:styleId="15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6">
    <w:name w:val="caption"/>
    <w:basedOn w:val="1"/>
    <w:next w:val="1"/>
    <w:link w:val="26"/>
    <w:unhideWhenUsed/>
    <w:qFormat/>
    <w:uiPriority w:val="35"/>
    <w:pPr>
      <w:spacing w:before="50" w:beforeLines="50"/>
      <w:ind w:firstLine="0" w:firstLineChars="0"/>
      <w:jc w:val="center"/>
    </w:pPr>
    <w:rPr>
      <w:rFonts w:cstheme="majorBidi"/>
      <w:b/>
      <w:sz w:val="24"/>
      <w:szCs w:val="20"/>
    </w:rPr>
  </w:style>
  <w:style w:type="paragraph" w:styleId="7">
    <w:name w:val="annotation text"/>
    <w:basedOn w:val="1"/>
    <w:link w:val="34"/>
    <w:semiHidden/>
    <w:unhideWhenUsed/>
    <w:uiPriority w:val="99"/>
    <w:pPr>
      <w:jc w:val="left"/>
    </w:pPr>
  </w:style>
  <w:style w:type="paragraph" w:styleId="8">
    <w:name w:val="toc 3"/>
    <w:basedOn w:val="1"/>
    <w:next w:val="1"/>
    <w:link w:val="32"/>
    <w:unhideWhenUsed/>
    <w:qFormat/>
    <w:uiPriority w:val="39"/>
    <w:pPr>
      <w:adjustRightInd w:val="0"/>
      <w:snapToGrid w:val="0"/>
      <w:ind w:firstLine="600" w:firstLineChars="600"/>
    </w:pPr>
  </w:style>
  <w:style w:type="paragraph" w:styleId="9">
    <w:name w:val="footer"/>
    <w:basedOn w:val="1"/>
    <w:link w:val="29"/>
    <w:autoRedefine/>
    <w:unhideWhenUsed/>
    <w:qFormat/>
    <w:uiPriority w:val="99"/>
    <w:pPr>
      <w:tabs>
        <w:tab w:val="center" w:pos="4153"/>
        <w:tab w:val="right" w:pos="8306"/>
      </w:tabs>
      <w:snapToGrid w:val="0"/>
      <w:spacing w:line="240" w:lineRule="auto"/>
      <w:jc w:val="left"/>
    </w:pPr>
    <w:rPr>
      <w:sz w:val="18"/>
      <w:szCs w:val="18"/>
    </w:rPr>
  </w:style>
  <w:style w:type="paragraph" w:styleId="10">
    <w:name w:val="header"/>
    <w:basedOn w:val="1"/>
    <w:link w:val="28"/>
    <w:autoRedefine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spacing w:line="240" w:lineRule="auto"/>
      <w:jc w:val="center"/>
    </w:pPr>
    <w:rPr>
      <w:sz w:val="18"/>
      <w:szCs w:val="18"/>
    </w:rPr>
  </w:style>
  <w:style w:type="paragraph" w:styleId="11">
    <w:name w:val="toc 1"/>
    <w:basedOn w:val="1"/>
    <w:next w:val="1"/>
    <w:autoRedefine/>
    <w:unhideWhenUsed/>
    <w:qFormat/>
    <w:uiPriority w:val="39"/>
  </w:style>
  <w:style w:type="paragraph" w:styleId="12">
    <w:name w:val="toc 2"/>
    <w:basedOn w:val="1"/>
    <w:next w:val="1"/>
    <w:autoRedefine/>
    <w:unhideWhenUsed/>
    <w:qFormat/>
    <w:uiPriority w:val="39"/>
    <w:pPr>
      <w:ind w:left="420" w:leftChars="200"/>
    </w:pPr>
  </w:style>
  <w:style w:type="paragraph" w:styleId="13">
    <w:name w:val="Title"/>
    <w:basedOn w:val="1"/>
    <w:next w:val="1"/>
    <w:link w:val="22"/>
    <w:autoRedefine/>
    <w:qFormat/>
    <w:uiPriority w:val="10"/>
    <w:pPr>
      <w:jc w:val="center"/>
      <w:outlineLvl w:val="0"/>
    </w:pPr>
    <w:rPr>
      <w:rFonts w:eastAsia="黑体" w:cstheme="majorBidi"/>
      <w:b/>
      <w:bCs/>
      <w:szCs w:val="32"/>
    </w:rPr>
  </w:style>
  <w:style w:type="paragraph" w:styleId="14">
    <w:name w:val="annotation subject"/>
    <w:basedOn w:val="7"/>
    <w:next w:val="7"/>
    <w:link w:val="35"/>
    <w:autoRedefine/>
    <w:semiHidden/>
    <w:unhideWhenUsed/>
    <w:qFormat/>
    <w:uiPriority w:val="99"/>
    <w:rPr>
      <w:b/>
      <w:bCs/>
    </w:rPr>
  </w:style>
  <w:style w:type="table" w:styleId="16">
    <w:name w:val="Table Grid"/>
    <w:basedOn w:val="15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18">
    <w:name w:val="Hyperlink"/>
    <w:basedOn w:val="17"/>
    <w:autoRedefine/>
    <w:unhideWhenUsed/>
    <w:qFormat/>
    <w:uiPriority w:val="99"/>
    <w:rPr>
      <w:color w:val="0563C1" w:themeColor="hyperlink"/>
      <w:u w:val="single"/>
      <w14:textFill>
        <w14:solidFill>
          <w14:schemeClr w14:val="hlink"/>
        </w14:solidFill>
      </w14:textFill>
    </w:rPr>
  </w:style>
  <w:style w:type="character" w:styleId="19">
    <w:name w:val="annotation reference"/>
    <w:basedOn w:val="17"/>
    <w:autoRedefine/>
    <w:semiHidden/>
    <w:unhideWhenUsed/>
    <w:qFormat/>
    <w:uiPriority w:val="99"/>
    <w:rPr>
      <w:sz w:val="21"/>
      <w:szCs w:val="21"/>
    </w:rPr>
  </w:style>
  <w:style w:type="character" w:customStyle="1" w:styleId="20">
    <w:name w:val="标题 1 字符"/>
    <w:basedOn w:val="17"/>
    <w:link w:val="2"/>
    <w:autoRedefine/>
    <w:qFormat/>
    <w:uiPriority w:val="9"/>
    <w:rPr>
      <w:rFonts w:ascii="Times New Roman" w:hAnsi="Times New Roman" w:eastAsia="黑体"/>
      <w:b/>
      <w:bCs/>
      <w:kern w:val="44"/>
      <w:sz w:val="32"/>
      <w:szCs w:val="44"/>
    </w:rPr>
  </w:style>
  <w:style w:type="character" w:customStyle="1" w:styleId="21">
    <w:name w:val="标题 2 字符"/>
    <w:basedOn w:val="17"/>
    <w:link w:val="3"/>
    <w:autoRedefine/>
    <w:qFormat/>
    <w:uiPriority w:val="9"/>
    <w:rPr>
      <w:rFonts w:ascii="Times New Roman" w:hAnsi="Times New Roman" w:eastAsia="楷体_GB2312" w:cstheme="majorBidi"/>
      <w:b/>
      <w:bCs/>
      <w:sz w:val="30"/>
      <w:szCs w:val="32"/>
    </w:rPr>
  </w:style>
  <w:style w:type="character" w:customStyle="1" w:styleId="22">
    <w:name w:val="标题 字符"/>
    <w:basedOn w:val="17"/>
    <w:link w:val="13"/>
    <w:autoRedefine/>
    <w:qFormat/>
    <w:uiPriority w:val="10"/>
    <w:rPr>
      <w:rFonts w:ascii="Times New Roman" w:hAnsi="Times New Roman" w:eastAsia="黑体" w:cstheme="majorBidi"/>
      <w:b/>
      <w:bCs/>
      <w:sz w:val="28"/>
      <w:szCs w:val="32"/>
    </w:rPr>
  </w:style>
  <w:style w:type="character" w:customStyle="1" w:styleId="23">
    <w:name w:val="标题 3 字符"/>
    <w:basedOn w:val="17"/>
    <w:link w:val="4"/>
    <w:autoRedefine/>
    <w:qFormat/>
    <w:uiPriority w:val="9"/>
    <w:rPr>
      <w:rFonts w:ascii="Times New Roman" w:hAnsi="Times New Roman" w:eastAsia="宋体"/>
      <w:b/>
      <w:bCs/>
      <w:sz w:val="28"/>
      <w:szCs w:val="32"/>
    </w:rPr>
  </w:style>
  <w:style w:type="character" w:customStyle="1" w:styleId="24">
    <w:name w:val="标题 4 字符"/>
    <w:basedOn w:val="17"/>
    <w:link w:val="5"/>
    <w:autoRedefine/>
    <w:semiHidden/>
    <w:qFormat/>
    <w:uiPriority w:val="9"/>
    <w:rPr>
      <w:rFonts w:ascii="Times New Roman" w:hAnsi="Times New Roman" w:eastAsia="宋体" w:cstheme="majorBidi"/>
      <w:b/>
      <w:bCs/>
      <w:szCs w:val="28"/>
    </w:rPr>
  </w:style>
  <w:style w:type="paragraph" w:customStyle="1" w:styleId="25">
    <w:name w:val="图表内容"/>
    <w:basedOn w:val="6"/>
    <w:link w:val="27"/>
    <w:autoRedefine/>
    <w:qFormat/>
    <w:uiPriority w:val="0"/>
    <w:pPr>
      <w:spacing w:before="0" w:beforeLines="0"/>
    </w:pPr>
    <w:rPr>
      <w:b w:val="0"/>
      <w:sz w:val="21"/>
    </w:rPr>
  </w:style>
  <w:style w:type="character" w:customStyle="1" w:styleId="26">
    <w:name w:val="题注 字符"/>
    <w:basedOn w:val="17"/>
    <w:link w:val="6"/>
    <w:autoRedefine/>
    <w:qFormat/>
    <w:uiPriority w:val="35"/>
    <w:rPr>
      <w:rFonts w:ascii="Times New Roman" w:hAnsi="Times New Roman" w:eastAsia="宋体" w:cstheme="majorBidi"/>
      <w:b/>
      <w:sz w:val="24"/>
      <w:szCs w:val="20"/>
    </w:rPr>
  </w:style>
  <w:style w:type="character" w:customStyle="1" w:styleId="27">
    <w:name w:val="图表内容 Char"/>
    <w:basedOn w:val="26"/>
    <w:link w:val="25"/>
    <w:autoRedefine/>
    <w:qFormat/>
    <w:uiPriority w:val="0"/>
    <w:rPr>
      <w:rFonts w:ascii="Times New Roman" w:hAnsi="Times New Roman" w:eastAsia="宋体" w:cstheme="majorBidi"/>
      <w:b w:val="0"/>
      <w:sz w:val="24"/>
      <w:szCs w:val="20"/>
    </w:rPr>
  </w:style>
  <w:style w:type="character" w:customStyle="1" w:styleId="28">
    <w:name w:val="页眉 字符"/>
    <w:basedOn w:val="17"/>
    <w:link w:val="10"/>
    <w:autoRedefine/>
    <w:qFormat/>
    <w:uiPriority w:val="99"/>
    <w:rPr>
      <w:rFonts w:ascii="Times New Roman" w:hAnsi="Times New Roman" w:eastAsia="宋体"/>
      <w:sz w:val="18"/>
      <w:szCs w:val="18"/>
    </w:rPr>
  </w:style>
  <w:style w:type="character" w:customStyle="1" w:styleId="29">
    <w:name w:val="页脚 字符"/>
    <w:basedOn w:val="17"/>
    <w:link w:val="9"/>
    <w:qFormat/>
    <w:uiPriority w:val="99"/>
    <w:rPr>
      <w:rFonts w:ascii="Times New Roman" w:hAnsi="Times New Roman" w:eastAsia="宋体"/>
      <w:sz w:val="18"/>
      <w:szCs w:val="18"/>
    </w:rPr>
  </w:style>
  <w:style w:type="paragraph" w:customStyle="1" w:styleId="30">
    <w:name w:val="TOC 标题1"/>
    <w:basedOn w:val="2"/>
    <w:next w:val="1"/>
    <w:unhideWhenUsed/>
    <w:qFormat/>
    <w:uiPriority w:val="39"/>
    <w:pPr>
      <w:widowControl/>
      <w:spacing w:before="240" w:beforeLines="0" w:after="0" w:afterLines="0" w:line="259" w:lineRule="auto"/>
      <w:outlineLvl w:val="9"/>
    </w:pPr>
    <w:rPr>
      <w:rFonts w:asciiTheme="majorHAnsi" w:hAnsiTheme="majorHAnsi" w:eastAsiaTheme="majorEastAsia" w:cstheme="majorBidi"/>
      <w:b w:val="0"/>
      <w:bCs w:val="0"/>
      <w:color w:val="2E75B6" w:themeColor="accent1" w:themeShade="BF"/>
      <w:kern w:val="0"/>
      <w:szCs w:val="32"/>
    </w:rPr>
  </w:style>
  <w:style w:type="paragraph" w:customStyle="1" w:styleId="31">
    <w:name w:val="表格后正文"/>
    <w:basedOn w:val="8"/>
    <w:link w:val="33"/>
    <w:autoRedefine/>
    <w:qFormat/>
    <w:uiPriority w:val="0"/>
    <w:pPr>
      <w:tabs>
        <w:tab w:val="left" w:pos="2520"/>
        <w:tab w:val="right" w:leader="dot" w:pos="8296"/>
      </w:tabs>
      <w:spacing w:before="50" w:beforeLines="50"/>
      <w:ind w:firstLine="200" w:firstLineChars="200"/>
    </w:pPr>
  </w:style>
  <w:style w:type="character" w:customStyle="1" w:styleId="32">
    <w:name w:val="TOC 3 字符"/>
    <w:basedOn w:val="17"/>
    <w:link w:val="8"/>
    <w:autoRedefine/>
    <w:qFormat/>
    <w:uiPriority w:val="39"/>
    <w:rPr>
      <w:rFonts w:ascii="Times New Roman" w:hAnsi="Times New Roman" w:eastAsia="宋体"/>
      <w:sz w:val="28"/>
    </w:rPr>
  </w:style>
  <w:style w:type="character" w:customStyle="1" w:styleId="33">
    <w:name w:val="表格后正文 Char"/>
    <w:basedOn w:val="32"/>
    <w:link w:val="31"/>
    <w:qFormat/>
    <w:uiPriority w:val="0"/>
    <w:rPr>
      <w:rFonts w:ascii="Times New Roman" w:hAnsi="Times New Roman" w:eastAsia="宋体"/>
      <w:sz w:val="28"/>
    </w:rPr>
  </w:style>
  <w:style w:type="character" w:customStyle="1" w:styleId="34">
    <w:name w:val="批注文字 字符"/>
    <w:basedOn w:val="17"/>
    <w:link w:val="7"/>
    <w:semiHidden/>
    <w:uiPriority w:val="99"/>
    <w:rPr>
      <w:rFonts w:ascii="Times New Roman" w:hAnsi="Times New Roman" w:eastAsia="仿宋_GB2312"/>
      <w:sz w:val="28"/>
    </w:rPr>
  </w:style>
  <w:style w:type="character" w:customStyle="1" w:styleId="35">
    <w:name w:val="批注主题 字符"/>
    <w:basedOn w:val="34"/>
    <w:link w:val="14"/>
    <w:semiHidden/>
    <w:qFormat/>
    <w:uiPriority w:val="99"/>
    <w:rPr>
      <w:rFonts w:ascii="Times New Roman" w:hAnsi="Times New Roman" w:eastAsia="仿宋_GB2312"/>
      <w:b/>
      <w:bCs/>
      <w:sz w:val="28"/>
    </w:rPr>
  </w:style>
  <w:style w:type="paragraph" w:styleId="36">
    <w:name w:val="List Paragraph"/>
    <w:basedOn w:val="1"/>
    <w:qFormat/>
    <w:uiPriority w:val="34"/>
    <w:pPr>
      <w:ind w:firstLine="42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2.xml"/><Relationship Id="rId8" Type="http://schemas.openxmlformats.org/officeDocument/2006/relationships/footer" Target="footer1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9" Type="http://schemas.openxmlformats.org/officeDocument/2006/relationships/fontTable" Target="fontTable.xml"/><Relationship Id="rId28" Type="http://schemas.openxmlformats.org/officeDocument/2006/relationships/customXml" Target="../customXml/item1.xml"/><Relationship Id="rId27" Type="http://schemas.openxmlformats.org/officeDocument/2006/relationships/numbering" Target="numbering.xml"/><Relationship Id="rId26" Type="http://schemas.openxmlformats.org/officeDocument/2006/relationships/image" Target="media/image15.png"/><Relationship Id="rId25" Type="http://schemas.openxmlformats.org/officeDocument/2006/relationships/image" Target="media/image14.png"/><Relationship Id="rId24" Type="http://schemas.openxmlformats.org/officeDocument/2006/relationships/image" Target="media/image13.jpeg"/><Relationship Id="rId23" Type="http://schemas.openxmlformats.org/officeDocument/2006/relationships/image" Target="media/image12.jpeg"/><Relationship Id="rId22" Type="http://schemas.openxmlformats.org/officeDocument/2006/relationships/image" Target="media/image11.jpeg"/><Relationship Id="rId21" Type="http://schemas.openxmlformats.org/officeDocument/2006/relationships/image" Target="media/image10.jpeg"/><Relationship Id="rId20" Type="http://schemas.openxmlformats.org/officeDocument/2006/relationships/image" Target="media/image9.emf"/><Relationship Id="rId2" Type="http://schemas.openxmlformats.org/officeDocument/2006/relationships/settings" Target="settings.xml"/><Relationship Id="rId19" Type="http://schemas.openxmlformats.org/officeDocument/2006/relationships/image" Target="media/image8.png"/><Relationship Id="rId18" Type="http://schemas.openxmlformats.org/officeDocument/2006/relationships/image" Target="media/image7.emf"/><Relationship Id="rId17" Type="http://schemas.openxmlformats.org/officeDocument/2006/relationships/image" Target="media/image6.emf"/><Relationship Id="rId16" Type="http://schemas.openxmlformats.org/officeDocument/2006/relationships/image" Target="media/image5.png"/><Relationship Id="rId15" Type="http://schemas.openxmlformats.org/officeDocument/2006/relationships/image" Target="media/image4.png"/><Relationship Id="rId14" Type="http://schemas.openxmlformats.org/officeDocument/2006/relationships/image" Target="media/image3.png"/><Relationship Id="rId13" Type="http://schemas.openxmlformats.org/officeDocument/2006/relationships/image" Target="media/image2.png"/><Relationship Id="rId12" Type="http://schemas.openxmlformats.org/officeDocument/2006/relationships/image" Target="media/image1.png"/><Relationship Id="rId11" Type="http://schemas.openxmlformats.org/officeDocument/2006/relationships/theme" Target="theme/theme1.xml"/><Relationship Id="rId10" Type="http://schemas.openxmlformats.org/officeDocument/2006/relationships/footer" Target="footer3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B67B15D-BDDB-4793-A62F-53522009005D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25</Pages>
  <Words>1595</Words>
  <Characters>9097</Characters>
  <Lines>75</Lines>
  <Paragraphs>21</Paragraphs>
  <TotalTime>4</TotalTime>
  <ScaleCrop>false</ScaleCrop>
  <LinksUpToDate>false</LinksUpToDate>
  <CharactersWithSpaces>10671</CharactersWithSpaces>
  <Application>WPS Office_12.1.0.16250_F1E327BC-269C-435d-A152-05C5408002CA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2023-05-18T03:07:00Z</dcterms:created>
  <dc:creator>曹梦迪</dc:creator>
  <cp:lastModifiedBy>WPS_1702275814</cp:lastModifiedBy>
  <dcterms:modified xsi:type="dcterms:W3CDTF">2024-02-02T07:34:00Z</dcterms:modified>
  <cp:revision>90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2052-12.1.0.16250</vt:lpwstr>
  </property>
  <property fmtid="{D5CDD505-2E9C-101B-9397-08002B2CF9AE}" pid="3" name="ICV">
    <vt:lpwstr>885FA8805662461A8EE4E106E3DBCCEC_13</vt:lpwstr>
  </property>
</Properties>
</file>