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ascii="Arial"/>
          <w:spacing w:val="0"/>
          <w:position w:val="0"/>
          <w:sz w:val="21"/>
        </w:rPr>
      </w:pPr>
      <w:r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行业领域专项整治工作重点及分工方案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一、隐患排查治理和监管防范重点任务及分工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5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坚持全面监管防范与重点排查整治相结合，深入排查各类安全风险，深入排查整治各类事故隐患，特别是风险管控措施和隐患整改落实情况；深入排查企业主体责任落实情况，特别是健全实施安全制度，落实安全投入，落实安全风险管控、隐患排查治理等安全防范措施等情况；深入排查部门监管责任和措施落实情况，特别是堵塞安全监管漏洞，清除安全监管盲区，依法履行职责等情况；严厉打击各类安全生产非法违法行为。重点整治无证或证照不全从事生产经营的行为，关闭取缔后又擅自从事生产经营的行为，“三违”行为，迟报、漏报、谎报、瞒报事故行为，重大隐患隐瞒不报或不按规定予以整治的行为，重大安全风险不评估管控的行为，不按规定进行安全培训或无证上岗的行为，拒不执行安全监管监察指令、抗拒安全执法的行为，以及其他非法违法生产经营行为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2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（一）由区城乡交通运输局牵头负责，重点围绕公路水路运输，特别是客运车辆及船舶、危化品运输车辆、超限运输等开展隐患排查治理和监管防范。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jc w:val="righ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（二）由区发展改革局牵头负责，加强对粮食流通行业安全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sectPr>
          <w:footerReference r:id="rId5" w:type="default"/>
          <w:pgSz w:w="11906" w:h="16839"/>
          <w:pgMar w:top="1431" w:right="1473" w:bottom="1808" w:left="1473" w:header="0" w:footer="153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生产监督管理的督导；围绕能源行业（含电力行业）、油气长输管道及附属设施保护等开展隐患排查治理和监管防范。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74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三）由区应急局牵头负责，重点围绕地下矿山、露天矿山、尾矿库等开展隐患排查治理和监管防范；围绕危化品行业领域“两重点一重大”（重点监管的危险化工工艺、重点监管的危险化学品和重大危险源）企业，危险化学品罐区、仓库等储存场所，开停车、检维修、特殊作业等高风险作业环节，以及自动化控制系统维护保养和运行情况，围绕工贸领域钢铁煤气、粉尘作业场所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74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（四）由区工业和信息化局牵头负责，重点围绕民用爆炸物品行业开展隐患排查治理和监管防范。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74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（五）由区化工专项行动办牵头负责，重点围绕化工行业、化工园区等开展隐患排查治理和监管防范。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1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（六）由区住房城乡建设局牵头负责，重点围绕深基坑、脚手架、起重机械、高支模及市政设施运营维护有限空间作业，转包、违法分包、围标串标、挂靠等市场违法违规行为，以及城镇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燃气安全等开展隐患排查治理和监管防范。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2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七）由区文化和旅游局负责文化旅游安全的监督和指导工作，重点围绕博物馆、文物保护单位、图书馆，网吧、娱乐场所、影剧院，艺术品经营活动，文物考古，旅行社安全等督促和指导相关单位做好隐患排查整治和防范，加强对星级饭店和A级景区旅游安全和应急管理工作的指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sectPr>
          <w:footerReference r:id="rId6" w:type="default"/>
          <w:pgSz w:w="11906" w:h="16839"/>
          <w:pgMar w:top="1431" w:right="1368" w:bottom="1808" w:left="1465" w:header="0" w:footer="153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2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（八）由区教育和体育局牵头负责，重点围绕校园、校舍、校车、区属学校实验室等开展隐患排查治理和监管防范。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4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（九）由区农业机械服务中心牵头负责，重点围绕农业机械超期服役、违规作业、违章载人以及组织实施跨地域大规模耕播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收割作业等开展隐患排查治理和监管防范。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4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（十）由区市场监管局牵头负责，重点围绕压力容器、电梯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、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大型游乐设施等开展隐患排查治理和监管防范。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6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（十一）由区卫生健康局负责，重点围绕医院、检验检测机构人员密集场所、消防、电梯、压力容器、易燃易爆设施器材物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品等开展隐患排查治理和监管防范。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5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（十二）由区交警部门牵头负责，重点加强“两客一危”、校车、公交车等交通安全监管，排查道路交通安全隐患，对“三超一疲劳”以及无证驾驶、危险驾驶、货车非法载人等道路交通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违法行为开展隐患排查治理和监管防范。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38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（十三）由区消防救援大队牵头负责，按照省政府安委会办公室《开展“防风险保平安迎大庆”消防安全执法检查专项行动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的实施意见》要求，开展隐患排查治理和监管防范。其他行业领域的安全专项整治，由其主管部门制定专项整治行动方案，并认真组织实施。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二、聚焦“四个重点”的主要内容及工作要求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  <w:t>（一）重点区域。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1．化工园区、化工企业聚集区和重点监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控点；2．其他工业园区和高危企业聚集区；3．铁路公路沿线；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sectPr>
          <w:footerReference r:id="rId7" w:type="default"/>
          <w:pgSz w:w="11906" w:h="16839"/>
          <w:pgMar w:top="1431" w:right="1370" w:bottom="1809" w:left="1473" w:header="0" w:footer="153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4．采矿区；5．有高危企业的人口密集区和其他重点区域。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25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  <w:t>（二）重点行业领域。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．炼油、氯碱、煤化工、精细化工等行业；2．非煤矿山领域；3．冶金、工贸和粉尘涉爆行业；4．民爆物品行业；5．管道运输和燃气行业；6．其他涉及易燃易爆、剧毒物品以及容易造成群死群伤的生产、经营、储存、运输、危废处理等行业领域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25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  <w:t>（三）重点企业。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．在评级评价中因安全评级不合格被列为“差”评的企业；2．近两年发生较大及以上事故或发生爆燃事故的企业；3．存在重大安全风险的企业；4．位于人口密集区内或安全距离不达标的高危企业；5．停产关闭企业；6．搬迁改造或拟搬迁改造企业；7．安全生产基础差、防控能力差等不放心企业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25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  <w:t>（四）重点环节和工序。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．高温高压装置区、储罐区和装卸区，自动化控制区域，重点防火单位等容易形成系统性重大安全风险和可能造成爆燃事故、中毒窒息事故的重点工序、环节、设备、场所、岗位等；2．动火作业、受限空间作业、盲板抽堵作业、高处作业、吊装作业、动土作业、断路作业、临时用电作业等特殊作业环节。3．高危企业开停车、重大工艺调整、新改扩项目试生产等环节。4．企业外来施工。对于“四个重点”，要精准施策、重点管控。对重点区域，要建立健全安全监管机构和队伍，实行领导干部包重点区域制度，落实区域安全治理和监管防范责任制，提高安全管理等级，必要时在区域内实行封闭化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17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管理，细分监管网格，责任具体到人，切实防范区域安全风险。对重点行业领域，分行业制定实施安全监管和事故防范指南，加强全流程全链条安全管控，严查严禁突击生产、超负荷生产经营和违规违章行为，并通过自动化减人、机械化换人或者增加轮换班次等方式，减少同一作业区域现场操作人员，降低事故风险。对重点企业，建立重点管控企业清单，逐一落实检查排查和监管防范措施，重点时段内要采取选派干部驻企监管等方式，严格盯守，严密防范，严查严处带病运行、未经批准擅自生产等风险因素，保证企业本质安全。对重点环节和工序，按照安全生产标准化和风险隐患双重预防体系要求，逐一落实安全岗位责任制、操作规程和管控措施。对动火作业、受限空间作业等特殊作业环节，全面加强安全监管，专项行动期间一律提级管理，作业前必须对作业人员进行安全教育，必须进行安全风险辨识管控，必须进行作业审批，必须进行安全监护，不具备作业资质的必须委托专业机构进行，对于“五个必须”未落实到位的，对企业及企业负责人依法予以处罚。高危企业开停车、试生产等环节，一律严格源头管控，专项行动期间暂停此类作业。对外来施工单位进入企业生产经营现场施工作业的，严格审批、严格监督、规范管理，专项行动期间凡发生生产安全责任事故的，发包方企业承担主要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sectPr>
          <w:footerReference r:id="rId8" w:type="default"/>
          <w:pgSz w:w="11906" w:h="16839"/>
          <w:pgMar w:top="1431" w:right="1385" w:bottom="1809" w:left="1473" w:header="0" w:footer="153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专项行动期间安全生产“一票否决”情形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36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参照市《迎接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中华人民共和国成立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70周年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安全生产专项整治行动方案》有关要求，专项行动期间，视情对镇（街道）和生产经营单位实行“一票否决”。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26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（一）出现以下情形之一，对功能区实行“一票否决”：发生较大爆燃事故的；发生致人死亡非法生产经营事故的；发现2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处以上非法生产经营行为未予有效制止的。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36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（二）出现以下情形之一，对镇（街道）实行“一票否决”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发生致人死亡爆燃事故的；发生非法生产经营事故的；发现非法生产经营行为未予有效制止的。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36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（三）出现以下情形之一</w:t>
      </w:r>
      <w:r>
        <w:rPr>
          <w:rFonts w:hint="eastAsia" w:ascii="仿宋_GB2312" w:hAnsi="仿宋_GB2312" w:eastAsia="仿宋_GB2312" w:cs="仿宋_GB2312"/>
          <w:spacing w:val="-20"/>
          <w:position w:val="0"/>
          <w:sz w:val="32"/>
          <w:szCs w:val="32"/>
        </w:rPr>
        <w:t>，对生产经营单位实行“一票否决</w:t>
      </w:r>
      <w:r>
        <w:rPr>
          <w:rFonts w:hint="eastAsia" w:ascii="仿宋_GB2312" w:hAnsi="仿宋_GB2312" w:eastAsia="仿宋_GB2312" w:cs="仿宋_GB2312"/>
          <w:spacing w:val="-20"/>
          <w:position w:val="0"/>
          <w:sz w:val="32"/>
          <w:szCs w:val="32"/>
          <w:lang w:eastAsia="zh-CN"/>
        </w:rPr>
        <w:t>”：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发生爆燃事故的；因风险隐患排查整改不力或“三违”行为导致发生事故的；存在重大风险隐患经挂牌督办仍未完成整改的；被列入安全生产“黑名单”管理的；瞒报、谎报、迟报安全事故的。被“一票否决”的单位，一年内不得推荐为评先树优对象，主要负责人、分管负责人和相关责任人在影响期内不得表彰奖励或晋升职务、级别。被“一票否决”的生产经营单位，及时向社会公告并通报相关部门实施联合惩戒，一年内在项目审批、核准、备案、用地审批、证券融资、银行贷款等方面严格限制，对其负责人和相关责任人员在影响期内不得表彰奖励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36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sectPr>
          <w:footerReference r:id="rId9" w:type="default"/>
          <w:pgSz w:w="11906" w:h="16839"/>
          <w:pgMar w:top="1431" w:right="1361" w:bottom="1809" w:left="1465" w:header="0" w:footer="153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positio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0"/>
          <w:position w:val="3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化工企业安全生产风险隐患排查整治指导目录（表样）</w:t>
      </w:r>
    </w:p>
    <w:tbl>
      <w:tblPr>
        <w:tblStyle w:val="11"/>
        <w:tblpPr w:leftFromText="180" w:rightFromText="180" w:vertAnchor="text" w:horzAnchor="page" w:tblpX="1030" w:tblpY="415"/>
        <w:tblOverlap w:val="never"/>
        <w:tblW w:w="1479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2634"/>
        <w:gridCol w:w="1830"/>
        <w:gridCol w:w="1189"/>
        <w:gridCol w:w="3870"/>
        <w:gridCol w:w="1797"/>
        <w:gridCol w:w="1177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62" w:type="dxa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检查项目</w:t>
            </w:r>
          </w:p>
        </w:tc>
        <w:tc>
          <w:tcPr>
            <w:tcW w:w="2634" w:type="dxa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检查内容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检查依据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检查方法</w:t>
            </w:r>
          </w:p>
        </w:tc>
        <w:tc>
          <w:tcPr>
            <w:tcW w:w="3870" w:type="dxa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常见问题</w:t>
            </w: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处置依据</w:t>
            </w:r>
          </w:p>
        </w:tc>
        <w:tc>
          <w:tcPr>
            <w:tcW w:w="1177" w:type="dxa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整改要求</w:t>
            </w: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复查验收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7" w:hRule="atLeast"/>
        </w:trPr>
        <w:tc>
          <w:tcPr>
            <w:tcW w:w="11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10"/>
              <w:jc w:val="left"/>
              <w:textAlignment w:val="baseline"/>
            </w:pPr>
            <w:r>
              <w:rPr>
                <w:spacing w:val="-10"/>
              </w:rPr>
              <w:t>（一）风</w:t>
            </w:r>
            <w:r>
              <w:rPr>
                <w:spacing w:val="33"/>
              </w:rPr>
              <w:t>险分级管控体系建</w:t>
            </w:r>
            <w:r>
              <w:rPr>
                <w:spacing w:val="1"/>
              </w:rPr>
              <w:t>设</w:t>
            </w:r>
          </w:p>
        </w:tc>
        <w:tc>
          <w:tcPr>
            <w:tcW w:w="2634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15"/>
              <w:jc w:val="left"/>
              <w:textAlignment w:val="baseline"/>
            </w:pPr>
            <w:r>
              <w:rPr>
                <w:spacing w:val="14"/>
              </w:rPr>
              <w:t>1.隐患排查①是否建立排</w:t>
            </w:r>
            <w:r>
              <w:rPr>
                <w:spacing w:val="-1"/>
              </w:rPr>
              <w:t>查治理制度。②是否编制与风险点、管控级别一致的隐患排查项目清单。③是否开展事故隐患排查。④是否如实记录排查治理情况、编制隐患排查记录。⑤对于排查出的隐患是否及时治理；治</w:t>
            </w:r>
            <w:r>
              <w:rPr>
                <w:spacing w:val="6"/>
              </w:rPr>
              <w:t>理情况是否达到安全要求；</w:t>
            </w:r>
            <w:r>
              <w:rPr>
                <w:spacing w:val="16"/>
              </w:rPr>
              <w:t>是否存在对已发现的重大事故隐患未按规定治理情</w:t>
            </w:r>
            <w:r>
              <w:rPr>
                <w:spacing w:val="-1"/>
              </w:rPr>
              <w:t>况；暂时无法整改事故隐患</w:t>
            </w:r>
            <w:r>
              <w:rPr>
                <w:spacing w:val="16"/>
              </w:rPr>
              <w:t>是否制定治理方案及防范</w:t>
            </w:r>
            <w:r>
              <w:rPr>
                <w:spacing w:val="-10"/>
              </w:rPr>
              <w:t>措施（落实整改措施、责任、</w:t>
            </w:r>
            <w:r>
              <w:rPr>
                <w:spacing w:val="7"/>
              </w:rPr>
              <w:t>资金、时限和预案)；防范措施是否落实。</w:t>
            </w:r>
          </w:p>
        </w:tc>
        <w:tc>
          <w:tcPr>
            <w:tcW w:w="183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</w:pPr>
            <w:r>
              <w:rPr>
                <w:spacing w:val="21"/>
              </w:rPr>
              <w:t>①</w:t>
            </w:r>
            <w:r>
              <w:rPr>
                <w:rFonts w:hint="eastAsia"/>
                <w:spacing w:val="21"/>
              </w:rPr>
              <w:t>《中华人民共和国安全生产法》</w:t>
            </w:r>
            <w:r>
              <w:rPr>
                <w:spacing w:val="-7"/>
              </w:rPr>
              <w:t>第38条第1款；</w:t>
            </w:r>
            <w:r>
              <w:t>②《山东省重大安</w:t>
            </w:r>
            <w:r>
              <w:rPr>
                <w:spacing w:val="16"/>
              </w:rPr>
              <w:t>全生产事故隐患</w:t>
            </w:r>
            <w:r>
              <w:t>排查治理办法》第</w:t>
            </w:r>
            <w:r>
              <w:rPr>
                <w:spacing w:val="-22"/>
              </w:rPr>
              <w:t>7条、</w:t>
            </w:r>
            <w:bookmarkStart w:id="0" w:name="_GoBack"/>
            <w:bookmarkEnd w:id="0"/>
            <w:r>
              <w:rPr>
                <w:spacing w:val="-22"/>
              </w:rPr>
              <w:t>11条；③《山</w:t>
            </w:r>
            <w:r>
              <w:rPr>
                <w:spacing w:val="29"/>
              </w:rPr>
              <w:t>东省生产经营单</w:t>
            </w:r>
            <w:r>
              <w:rPr>
                <w:spacing w:val="23"/>
              </w:rPr>
              <w:t>位安全生产主体</w:t>
            </w:r>
            <w:r>
              <w:rPr>
                <w:spacing w:val="9"/>
              </w:rPr>
              <w:t>责任规定》第27</w:t>
            </w:r>
            <w:r>
              <w:rPr>
                <w:spacing w:val="1"/>
              </w:rPr>
              <w:t>条；④《生产安全</w:t>
            </w:r>
            <w:r>
              <w:rPr>
                <w:spacing w:val="23"/>
              </w:rPr>
              <w:t>事故隐患排查治</w:t>
            </w:r>
            <w:r>
              <w:rPr>
                <w:spacing w:val="-8"/>
              </w:rPr>
              <w:t>理体系通则》；⑤</w:t>
            </w:r>
            <w:r>
              <w:rPr>
                <w:spacing w:val="15"/>
              </w:rPr>
              <w:t>《安全生产事故</w:t>
            </w:r>
            <w:r>
              <w:rPr>
                <w:spacing w:val="23"/>
              </w:rPr>
              <w:t>隐患排查治理暂</w:t>
            </w:r>
            <w:r>
              <w:rPr>
                <w:spacing w:val="3"/>
              </w:rPr>
              <w:t>行规定》第15条</w:t>
            </w:r>
            <w:r>
              <w:rPr>
                <w:spacing w:val="-1"/>
              </w:rPr>
              <w:t>第2款。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5"/>
              <w:jc w:val="left"/>
              <w:textAlignment w:val="baseline"/>
            </w:pPr>
            <w:r>
              <w:rPr>
                <w:spacing w:val="-10"/>
              </w:rPr>
              <w:t>查阅隐患</w:t>
            </w:r>
            <w:r>
              <w:rPr>
                <w:spacing w:val="41"/>
              </w:rPr>
              <w:t>排查治理</w:t>
            </w:r>
            <w:r>
              <w:rPr>
                <w:rFonts w:hint="eastAsia"/>
                <w:spacing w:val="-8"/>
                <w:lang w:val="en-US" w:eastAsia="zh-CN"/>
              </w:rPr>
              <w:t>台账</w:t>
            </w:r>
            <w:r>
              <w:rPr>
                <w:spacing w:val="-8"/>
              </w:rPr>
              <w:t>；现场抽查，核对</w:t>
            </w:r>
            <w:r>
              <w:rPr>
                <w:spacing w:val="-4"/>
              </w:rPr>
              <w:t>隐患治理</w:t>
            </w:r>
            <w:r>
              <w:rPr>
                <w:spacing w:val="3"/>
              </w:rPr>
              <w:t>情况。</w:t>
            </w:r>
          </w:p>
        </w:tc>
        <w:tc>
          <w:tcPr>
            <w:tcW w:w="38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6"/>
              <w:jc w:val="left"/>
              <w:textAlignment w:val="baseline"/>
            </w:pPr>
            <w:r>
              <w:rPr>
                <w:spacing w:val="14"/>
              </w:rPr>
              <w:t>未编制与风险点、管控级别一致的隐患排查项目清单（生产现场类、基础管理</w:t>
            </w:r>
            <w:r>
              <w:rPr>
                <w:spacing w:val="8"/>
              </w:rPr>
              <w:t>类)；未建立隐患排查治理制度；未以正</w:t>
            </w:r>
            <w:r>
              <w:rPr>
                <w:spacing w:val="14"/>
              </w:rPr>
              <w:t>式文件发布。制度中未包含排查频次、责任分工、重大事故隐患判定标准、治理程序和要求等内容。未按规定开展隐患排查；各级、各部门未按职责分工及时间要求进行排查。未如实记录排查治理情况；编造隐患排查记录。对于排查出的隐患未及时治理；治理情况达不到安全要求。暂时无法整改事故隐患未制</w:t>
            </w:r>
            <w:r>
              <w:rPr>
                <w:spacing w:val="11"/>
              </w:rPr>
              <w:t>定治理方案及防范措施；防范措施未落</w:t>
            </w:r>
            <w:r>
              <w:rPr>
                <w:spacing w:val="14"/>
              </w:rPr>
              <w:t>实。未制定重大事故隐患治理方案；治理方案内容不符合要求。对已发现的重</w:t>
            </w:r>
            <w:r>
              <w:rPr>
                <w:spacing w:val="8"/>
              </w:rPr>
              <w:t>大事故隐患未按规定治理。</w:t>
            </w: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5"/>
              <w:jc w:val="left"/>
              <w:textAlignment w:val="baseline"/>
            </w:pPr>
            <w:r>
              <w:rPr>
                <w:spacing w:val="15"/>
              </w:rPr>
              <w:t>《中华人民共和</w:t>
            </w:r>
            <w:r>
              <w:rPr>
                <w:spacing w:val="4"/>
              </w:rPr>
              <w:t>国安全生产法》、</w:t>
            </w:r>
            <w:r>
              <w:rPr>
                <w:spacing w:val="16"/>
              </w:rPr>
              <w:t>《生产安全事故隐患排查治理体</w:t>
            </w:r>
            <w:r>
              <w:rPr>
                <w:spacing w:val="-11"/>
              </w:rPr>
              <w:t>系通则》、《安全</w:t>
            </w:r>
            <w:r>
              <w:rPr>
                <w:spacing w:val="16"/>
              </w:rPr>
              <w:t>生产事故隐患排</w:t>
            </w:r>
            <w:r>
              <w:rPr>
                <w:spacing w:val="-14"/>
              </w:rPr>
              <w:t>查治理暂行规定》、</w:t>
            </w:r>
            <w:r>
              <w:rPr>
                <w:spacing w:val="16"/>
              </w:rPr>
              <w:t>《山东省重大生产安全事故隐患</w:t>
            </w:r>
            <w:r>
              <w:rPr>
                <w:spacing w:val="4"/>
              </w:rPr>
              <w:t>排查治理办法》、</w:t>
            </w:r>
            <w:r>
              <w:rPr>
                <w:spacing w:val="16"/>
              </w:rPr>
              <w:t>《山东省生产经营单位安全生产</w:t>
            </w:r>
            <w:r>
              <w:t>主体责任规定》</w:t>
            </w:r>
          </w:p>
        </w:tc>
        <w:tc>
          <w:tcPr>
            <w:tcW w:w="11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</w:pPr>
            <w:r>
              <w:rPr>
                <w:spacing w:val="38"/>
              </w:rPr>
              <w:t>根据问题表现作出相应具体</w:t>
            </w:r>
            <w:r>
              <w:rPr>
                <w:spacing w:val="5"/>
              </w:rPr>
              <w:t>要求</w:t>
            </w: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left"/>
              <w:textAlignment w:val="baseline"/>
            </w:pPr>
            <w:r>
              <w:rPr>
                <w:spacing w:val="10"/>
              </w:rPr>
              <w:t>根据问题</w:t>
            </w:r>
            <w:r>
              <w:rPr>
                <w:spacing w:val="7"/>
              </w:rPr>
              <w:t>表现作出</w:t>
            </w:r>
            <w:r>
              <w:rPr>
                <w:spacing w:val="25"/>
              </w:rPr>
              <w:t>相应具体</w:t>
            </w:r>
            <w:r>
              <w:rPr>
                <w:spacing w:val="5"/>
              </w:rPr>
              <w:t>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16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</w:pPr>
            <w:r>
              <w:rPr>
                <w:spacing w:val="-1"/>
                <w:position w:val="5"/>
              </w:rPr>
              <w:t>（二）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</w:pPr>
            <w:r>
              <w:rPr>
                <w:spacing w:val="-1"/>
              </w:rPr>
              <w:t>（略）</w:t>
            </w:r>
          </w:p>
        </w:tc>
        <w:tc>
          <w:tcPr>
            <w:tcW w:w="26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sectPr>
          <w:footerReference r:id="rId10" w:type="default"/>
          <w:pgSz w:w="16839" w:h="11906"/>
          <w:pgMar w:top="1012" w:right="1021" w:bottom="400" w:left="1021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/>
        <w:textAlignment w:val="baseline"/>
        <w:rPr>
          <w:rFonts w:hint="eastAsia" w:eastAsia="宋体"/>
          <w:sz w:val="21"/>
          <w:lang w:eastAsia="zh-CN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tbl>
      <w:tblPr>
        <w:tblStyle w:val="9"/>
        <w:tblpPr w:leftFromText="180" w:rightFromText="180" w:vertAnchor="text" w:horzAnchor="page" w:tblpX="1603" w:tblpY="114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  <w:t>抄送：区委各部门，区人大常委会办公室，区政协办公室，区法院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  <w:lang w:eastAsia="zh-CN"/>
              </w:rPr>
              <w:t>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 w:firstLine="840" w:firstLineChars="300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  <w:t>区检察院，区人武部。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after="40" w:line="64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position w:val="0"/>
                <w:sz w:val="28"/>
                <w:szCs w:val="28"/>
                <w:lang w:val="en-US" w:eastAsia="en-US" w:bidi="ar-SA"/>
              </w:rPr>
              <w:t>济南市莱芜区人民政府办公室            2019 年 6 月 28 日印发</w:t>
            </w:r>
          </w:p>
        </w:tc>
      </w:tr>
    </w:tbl>
    <w:p>
      <w:pPr>
        <w:pStyle w:val="6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210" w:firstLineChars="100"/>
        <w:textAlignment w:val="baseline"/>
        <w:rPr>
          <w:rFonts w:ascii="Arial"/>
          <w:sz w:val="21"/>
        </w:rPr>
      </w:pPr>
    </w:p>
    <w:p>
      <w:pPr>
        <w:pStyle w:val="6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210" w:firstLineChars="100"/>
        <w:textAlignment w:val="baseline"/>
        <w:rPr>
          <w:rFonts w:ascii="Arial"/>
          <w:sz w:val="21"/>
        </w:rPr>
      </w:pPr>
    </w:p>
    <w:sectPr>
      <w:pgSz w:w="11910" w:h="16840"/>
      <w:pgMar w:top="1431" w:right="1188" w:bottom="400" w:left="1469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kxOGRhY2M4ODI3MmUzZjRlZjcxOTgwNzgxYjlhZWUifQ=="/>
  </w:docVars>
  <w:rsids>
    <w:rsidRoot w:val="00000000"/>
    <w:rsid w:val="0FDC5873"/>
    <w:rsid w:val="1179562C"/>
    <w:rsid w:val="120831AD"/>
    <w:rsid w:val="16486A32"/>
    <w:rsid w:val="17AA2BEF"/>
    <w:rsid w:val="25282C66"/>
    <w:rsid w:val="47F72885"/>
    <w:rsid w:val="4ACF6009"/>
    <w:rsid w:val="51EF789D"/>
    <w:rsid w:val="60E82ABD"/>
    <w:rsid w:val="66820DD4"/>
    <w:rsid w:val="6A933BC6"/>
    <w:rsid w:val="79AC5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cs="宋体"/>
      <w:color w:val="000000"/>
      <w:kern w:val="0"/>
      <w:sz w:val="24"/>
      <w:szCs w:val="24"/>
    </w:rPr>
  </w:style>
  <w:style w:type="paragraph" w:styleId="6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7400</Words>
  <Characters>7431</Characters>
  <TotalTime>9</TotalTime>
  <ScaleCrop>false</ScaleCrop>
  <LinksUpToDate>false</LinksUpToDate>
  <CharactersWithSpaces>7482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2020-01-07T16:58:00Z</dcterms:created>
  <dc:creator>xbany</dc:creator>
  <cp:lastModifiedBy>Administrator</cp:lastModifiedBy>
  <dcterms:modified xsi:type="dcterms:W3CDTF">2024-01-29T07:09:41Z</dcterms:modified>
  <dc:title>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2023-07-13T09:14:12Z</vt:filetime>
  </property>
  <property fmtid="{D5CDD505-2E9C-101B-9397-08002B2CF9AE}" pid="4" name="KSOProductBuildVer">
    <vt:lpwstr>2052-12.1.0.16250</vt:lpwstr>
  </property>
  <property fmtid="{D5CDD505-2E9C-101B-9397-08002B2CF9AE}" pid="5" name="ICV">
    <vt:lpwstr>EA3BC631FC594E7BB63CB0E4733CAB81_13</vt:lpwstr>
  </property>
</Properties>
</file>