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600" w:lineRule="exact"/>
        <w:jc w:val="both"/>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spacing w:line="600" w:lineRule="exact"/>
        <w:jc w:val="center"/>
        <w:rPr>
          <w:rFonts w:hint="eastAsia"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color w:val="000000"/>
          <w:kern w:val="0"/>
          <w:sz w:val="44"/>
          <w:szCs w:val="44"/>
          <w:lang w:val="en-US" w:eastAsia="zh-CN" w:bidi="ar"/>
        </w:rPr>
        <w:t>莱芜区2021年国民经济和社会发展计划</w:t>
      </w:r>
    </w:p>
    <w:bookmarkEnd w:id="1"/>
    <w:p>
      <w:pPr>
        <w:pStyle w:val="4"/>
        <w:keepNext w:val="0"/>
        <w:keepLines w:val="0"/>
        <w:pageBreakBefore w:val="0"/>
        <w:widowControl w:val="0"/>
        <w:kinsoku/>
        <w:wordWrap/>
        <w:overflowPunct/>
        <w:topLinePunct w:val="0"/>
        <w:autoSpaceDE/>
        <w:autoSpaceDN/>
        <w:bidi w:val="0"/>
        <w:spacing w:line="600" w:lineRule="exact"/>
        <w:ind w:firstLine="640"/>
        <w:jc w:val="both"/>
        <w:rPr>
          <w:rFonts w:hint="eastAsia"/>
          <w:b w:val="0"/>
          <w:bCs w:val="0"/>
          <w:color w:val="auto"/>
          <w:sz w:val="36"/>
          <w:szCs w:val="36"/>
        </w:rPr>
      </w:pPr>
    </w:p>
    <w:p>
      <w:pPr>
        <w:pStyle w:val="4"/>
        <w:keepNext w:val="0"/>
        <w:keepLines w:val="0"/>
        <w:pageBreakBefore w:val="0"/>
        <w:widowControl w:val="0"/>
        <w:kinsoku/>
        <w:wordWrap/>
        <w:overflowPunct/>
        <w:topLinePunct w:val="0"/>
        <w:autoSpaceDE/>
        <w:autoSpaceDN/>
        <w:bidi w:val="0"/>
        <w:spacing w:after="0" w:line="600" w:lineRule="exact"/>
        <w:ind w:firstLine="640"/>
        <w:jc w:val="both"/>
        <w:rPr>
          <w:b w:val="0"/>
          <w:bCs w:val="0"/>
          <w:color w:val="auto"/>
          <w:sz w:val="32"/>
          <w:szCs w:val="32"/>
        </w:rPr>
      </w:pPr>
      <w:r>
        <w:rPr>
          <w:rFonts w:hint="eastAsia"/>
          <w:b w:val="0"/>
          <w:bCs w:val="0"/>
          <w:color w:val="auto"/>
          <w:sz w:val="32"/>
          <w:szCs w:val="32"/>
        </w:rPr>
        <w:t>一、2020年国民经济和社会发展计划执行情况</w:t>
      </w:r>
    </w:p>
    <w:p>
      <w:pPr>
        <w:keepNext w:val="0"/>
        <w:keepLines w:val="0"/>
        <w:pageBreakBefore w:val="0"/>
        <w:widowControl w:val="0"/>
        <w:kinsoku/>
        <w:wordWrap/>
        <w:overflowPunct/>
        <w:topLinePunct w:val="0"/>
        <w:autoSpaceDE/>
        <w:autoSpaceDN/>
        <w:bidi w:val="0"/>
        <w:spacing w:after="0" w:line="60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2020年是极不平凡的一年。面对国内国际复杂严峻的经济形势</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艰巨的改革任务，特别是</w:t>
      </w:r>
      <w:r>
        <w:rPr>
          <w:rFonts w:hint="eastAsia" w:ascii="仿宋_GB2312" w:hAnsi="仿宋_GB2312" w:eastAsia="仿宋_GB2312" w:cs="仿宋_GB2312"/>
          <w:bCs/>
          <w:color w:val="auto"/>
          <w:sz w:val="32"/>
          <w:szCs w:val="32"/>
        </w:rPr>
        <w:t>新冠肺炎疫情的严重冲击</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全区上下在</w:t>
      </w:r>
      <w:r>
        <w:rPr>
          <w:rFonts w:hint="eastAsia" w:ascii="仿宋_GB2312" w:hAnsi="仿宋_GB2312" w:eastAsia="仿宋_GB2312" w:cs="仿宋_GB2312"/>
          <w:bCs/>
          <w:color w:val="auto"/>
          <w:sz w:val="32"/>
          <w:szCs w:val="32"/>
          <w:lang w:val="en-US" w:eastAsia="zh-CN"/>
        </w:rPr>
        <w:t>市委、市政府和</w:t>
      </w:r>
      <w:r>
        <w:rPr>
          <w:rFonts w:hint="eastAsia" w:ascii="仿宋_GB2312" w:hAnsi="仿宋_GB2312" w:eastAsia="仿宋_GB2312" w:cs="仿宋_GB2312"/>
          <w:bCs/>
          <w:color w:val="auto"/>
          <w:sz w:val="32"/>
          <w:szCs w:val="32"/>
        </w:rPr>
        <w:t>区委</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区政府</w:t>
      </w:r>
      <w:r>
        <w:rPr>
          <w:rFonts w:hint="eastAsia" w:ascii="仿宋_GB2312" w:hAnsi="仿宋_GB2312" w:eastAsia="仿宋_GB2312" w:cs="仿宋_GB2312"/>
          <w:bCs/>
          <w:color w:val="auto"/>
          <w:sz w:val="32"/>
          <w:szCs w:val="32"/>
        </w:rPr>
        <w:t>的坚强领导下，</w:t>
      </w:r>
      <w:r>
        <w:rPr>
          <w:rFonts w:hint="eastAsia" w:ascii="仿宋_GB2312" w:hAnsi="仿宋_GB2312" w:eastAsia="仿宋_GB2312" w:cs="仿宋_GB2312"/>
          <w:bCs/>
          <w:color w:val="auto"/>
          <w:sz w:val="32"/>
          <w:szCs w:val="32"/>
          <w:lang w:val="en-US" w:eastAsia="zh-CN"/>
        </w:rPr>
        <w:t>在区人大、区政协的监督指导下，</w:t>
      </w:r>
      <w:r>
        <w:rPr>
          <w:rFonts w:hint="eastAsia" w:ascii="仿宋_GB2312" w:hAnsi="仿宋_GB2312" w:eastAsia="仿宋_GB2312" w:cs="仿宋_GB2312"/>
          <w:bCs/>
          <w:color w:val="auto"/>
          <w:sz w:val="32"/>
          <w:szCs w:val="32"/>
        </w:rPr>
        <w:t>坚持以习近平新时代中国特色社会主义思想为指导，认真贯彻落实党的十九大和十九届二中、三中、四中、五中全会精神，统筹推进疫情防控和经济</w:t>
      </w:r>
      <w:r>
        <w:rPr>
          <w:rFonts w:hint="eastAsia" w:ascii="仿宋_GB2312" w:hAnsi="仿宋_GB2312" w:eastAsia="仿宋_GB2312" w:cs="仿宋_GB2312"/>
          <w:bCs/>
          <w:color w:val="auto"/>
          <w:sz w:val="32"/>
          <w:szCs w:val="32"/>
          <w:lang w:val="en-US" w:eastAsia="zh-CN"/>
        </w:rPr>
        <w:t>社会</w:t>
      </w:r>
      <w:r>
        <w:rPr>
          <w:rFonts w:hint="eastAsia" w:ascii="仿宋_GB2312" w:hAnsi="仿宋_GB2312" w:eastAsia="仿宋_GB2312" w:cs="仿宋_GB2312"/>
          <w:bCs/>
          <w:color w:val="auto"/>
          <w:sz w:val="32"/>
          <w:szCs w:val="32"/>
        </w:rPr>
        <w:t>发展，扎实做好“六稳”工作，全面落实“六保”任务，努力克服疫情带来的不利影响，有力推动全区经济社会秩序加快恢复，全区经济社会发展</w:t>
      </w:r>
      <w:r>
        <w:rPr>
          <w:rFonts w:hint="eastAsia" w:ascii="仿宋_GB2312" w:hAnsi="仿宋_GB2312" w:eastAsia="仿宋_GB2312" w:cs="仿宋_GB2312"/>
          <w:bCs/>
          <w:color w:val="auto"/>
          <w:sz w:val="32"/>
          <w:szCs w:val="32"/>
          <w:lang w:val="en-US" w:eastAsia="zh-CN"/>
        </w:rPr>
        <w:t>呈现</w:t>
      </w:r>
      <w:r>
        <w:rPr>
          <w:rFonts w:hint="eastAsia" w:ascii="仿宋_GB2312" w:hAnsi="仿宋_GB2312" w:eastAsia="仿宋_GB2312" w:cs="仿宋_GB2312"/>
          <w:bCs/>
          <w:color w:val="auto"/>
          <w:sz w:val="32"/>
          <w:szCs w:val="32"/>
        </w:rPr>
        <w:t>稳中向好、逆势上扬</w:t>
      </w:r>
      <w:r>
        <w:rPr>
          <w:rFonts w:hint="eastAsia" w:ascii="仿宋_GB2312" w:hAnsi="仿宋_GB2312" w:eastAsia="仿宋_GB2312" w:cs="仿宋_GB2312"/>
          <w:bCs/>
          <w:color w:val="auto"/>
          <w:sz w:val="32"/>
          <w:szCs w:val="32"/>
          <w:lang w:val="en-US" w:eastAsia="zh-CN"/>
        </w:rPr>
        <w:t>的态势</w:t>
      </w:r>
      <w:r>
        <w:rPr>
          <w:rFonts w:hint="eastAsia" w:ascii="仿宋_GB2312" w:hAnsi="仿宋_GB2312" w:eastAsia="仿宋_GB2312" w:cs="仿宋_GB2312"/>
          <w:bCs/>
          <w:color w:val="auto"/>
          <w:sz w:val="32"/>
          <w:szCs w:val="32"/>
        </w:rPr>
        <w:t>。</w:t>
      </w:r>
    </w:p>
    <w:p>
      <w:pPr>
        <w:keepNext w:val="0"/>
        <w:keepLines w:val="0"/>
        <w:pageBreakBefore w:val="0"/>
        <w:widowControl w:val="0"/>
        <w:kinsoku/>
        <w:wordWrap/>
        <w:overflowPunct/>
        <w:topLinePunct w:val="0"/>
        <w:autoSpaceDE/>
        <w:autoSpaceDN/>
        <w:bidi w:val="0"/>
        <w:spacing w:after="0" w:line="600" w:lineRule="exact"/>
        <w:ind w:firstLine="640" w:firstLineChars="200"/>
        <w:jc w:val="both"/>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（一）经济增长持续稳健。</w:t>
      </w:r>
      <w:r>
        <w:rPr>
          <w:rFonts w:hint="eastAsia" w:ascii="仿宋_GB2312" w:hAnsi="仿宋_GB2312" w:eastAsia="仿宋_GB2312" w:cs="仿宋_GB2312"/>
          <w:color w:val="auto"/>
          <w:sz w:val="32"/>
          <w:szCs w:val="32"/>
        </w:rPr>
        <w:t>积极应对复杂严峻形势，加强和改进</w:t>
      </w:r>
      <w:r>
        <w:rPr>
          <w:rFonts w:hint="eastAsia" w:ascii="仿宋_GB2312" w:hAnsi="仿宋_GB2312" w:eastAsia="仿宋_GB2312" w:cs="仿宋_GB2312"/>
          <w:color w:val="auto"/>
          <w:sz w:val="32"/>
          <w:szCs w:val="32"/>
          <w:lang w:val="en-US" w:eastAsia="zh-CN"/>
        </w:rPr>
        <w:t>宏观</w:t>
      </w:r>
      <w:r>
        <w:rPr>
          <w:rFonts w:hint="eastAsia" w:ascii="仿宋_GB2312" w:hAnsi="仿宋_GB2312" w:eastAsia="仿宋_GB2312" w:cs="仿宋_GB2312"/>
          <w:color w:val="auto"/>
          <w:sz w:val="32"/>
          <w:szCs w:val="32"/>
        </w:rPr>
        <w:t>经济调控，推动经济运行保持在合理区间。实现地区生产总值增长</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%；完成财政收入</w:t>
      </w:r>
      <w:r>
        <w:rPr>
          <w:rFonts w:hint="eastAsia" w:ascii="仿宋_GB2312" w:hAnsi="仿宋_GB2312" w:eastAsia="仿宋_GB2312" w:cs="仿宋_GB2312"/>
          <w:color w:val="auto"/>
          <w:sz w:val="32"/>
          <w:szCs w:val="32"/>
          <w:lang w:val="en-US" w:eastAsia="zh-CN"/>
        </w:rPr>
        <w:t>33.43</w:t>
      </w:r>
      <w:r>
        <w:rPr>
          <w:rFonts w:hint="eastAsia" w:ascii="仿宋_GB2312" w:hAnsi="仿宋_GB2312" w:eastAsia="仿宋_GB2312" w:cs="仿宋_GB2312"/>
          <w:color w:val="auto"/>
          <w:sz w:val="32"/>
          <w:szCs w:val="32"/>
        </w:rPr>
        <w:t>亿元、增长</w:t>
      </w:r>
      <w:r>
        <w:rPr>
          <w:rFonts w:hint="eastAsia" w:ascii="仿宋_GB2312" w:hAnsi="仿宋_GB2312" w:eastAsia="仿宋_GB2312" w:cs="仿宋_GB2312"/>
          <w:color w:val="auto"/>
          <w:sz w:val="32"/>
          <w:szCs w:val="32"/>
          <w:lang w:val="en-US" w:eastAsia="zh-CN"/>
        </w:rPr>
        <w:t>10.90</w:t>
      </w:r>
      <w:r>
        <w:rPr>
          <w:rFonts w:hint="eastAsia" w:ascii="仿宋_GB2312" w:hAnsi="仿宋_GB2312" w:eastAsia="仿宋_GB2312" w:cs="仿宋_GB2312"/>
          <w:color w:val="auto"/>
          <w:sz w:val="32"/>
          <w:szCs w:val="32"/>
        </w:rPr>
        <w:t>%；实现规上工业增加值增长</w:t>
      </w:r>
      <w:r>
        <w:rPr>
          <w:rFonts w:hint="eastAsia" w:ascii="仿宋_GB2312" w:hAnsi="仿宋_GB2312" w:eastAsia="仿宋_GB2312" w:cs="仿宋_GB2312"/>
          <w:color w:val="auto"/>
          <w:sz w:val="32"/>
          <w:szCs w:val="32"/>
          <w:lang w:val="en-US" w:eastAsia="zh-CN"/>
        </w:rPr>
        <w:t>14.80</w:t>
      </w:r>
      <w:r>
        <w:rPr>
          <w:rFonts w:hint="eastAsia" w:ascii="仿宋_GB2312" w:hAnsi="仿宋_GB2312" w:eastAsia="仿宋_GB2312" w:cs="仿宋_GB2312"/>
          <w:color w:val="auto"/>
          <w:sz w:val="32"/>
          <w:szCs w:val="32"/>
        </w:rPr>
        <w:t>%；完成固定资产投资增长</w:t>
      </w:r>
      <w:r>
        <w:rPr>
          <w:rFonts w:hint="eastAsia" w:ascii="仿宋_GB2312" w:hAnsi="仿宋_GB2312" w:eastAsia="仿宋_GB2312" w:cs="仿宋_GB2312"/>
          <w:color w:val="auto"/>
          <w:sz w:val="32"/>
          <w:szCs w:val="32"/>
          <w:lang w:val="en-US" w:eastAsia="zh-CN"/>
        </w:rPr>
        <w:t>11.21</w:t>
      </w:r>
      <w:r>
        <w:rPr>
          <w:rFonts w:hint="eastAsia" w:ascii="仿宋_GB2312" w:hAnsi="仿宋_GB2312" w:eastAsia="仿宋_GB2312" w:cs="仿宋_GB2312"/>
          <w:color w:val="auto"/>
          <w:sz w:val="32"/>
          <w:szCs w:val="32"/>
        </w:rPr>
        <w:t>%；城镇和农村居民人均可支配收入分别达到</w:t>
      </w:r>
      <w:r>
        <w:rPr>
          <w:rFonts w:hint="eastAsia" w:ascii="仿宋_GB2312" w:hAnsi="仿宋_GB2312" w:eastAsia="仿宋_GB2312" w:cs="仿宋_GB2312"/>
          <w:color w:val="auto"/>
          <w:sz w:val="32"/>
          <w:szCs w:val="32"/>
          <w:lang w:val="en-US" w:eastAsia="zh-CN"/>
        </w:rPr>
        <w:t>38473</w:t>
      </w:r>
      <w:r>
        <w:rPr>
          <w:rFonts w:hint="eastAsia" w:ascii="仿宋_GB2312" w:hAnsi="仿宋_GB2312" w:eastAsia="仿宋_GB2312" w:cs="仿宋_GB2312"/>
          <w:color w:val="auto"/>
          <w:sz w:val="32"/>
          <w:szCs w:val="32"/>
        </w:rPr>
        <w:t>元和</w:t>
      </w:r>
      <w:r>
        <w:rPr>
          <w:rFonts w:hint="eastAsia" w:ascii="仿宋_GB2312" w:hAnsi="仿宋_GB2312" w:eastAsia="仿宋_GB2312" w:cs="仿宋_GB2312"/>
          <w:color w:val="auto"/>
          <w:sz w:val="32"/>
          <w:szCs w:val="32"/>
          <w:lang w:val="en-US" w:eastAsia="zh-CN"/>
        </w:rPr>
        <w:t>19324</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分别</w:t>
      </w:r>
      <w:r>
        <w:rPr>
          <w:rFonts w:hint="eastAsia" w:ascii="仿宋_GB2312" w:hAnsi="仿宋_GB2312" w:eastAsia="仿宋_GB2312" w:cs="仿宋_GB2312"/>
          <w:color w:val="auto"/>
          <w:sz w:val="32"/>
          <w:szCs w:val="32"/>
        </w:rPr>
        <w:t>增长</w:t>
      </w:r>
      <w:r>
        <w:rPr>
          <w:rFonts w:hint="eastAsia" w:ascii="仿宋_GB2312" w:hAnsi="仿宋_GB2312" w:eastAsia="仿宋_GB2312" w:cs="仿宋_GB2312"/>
          <w:color w:val="auto"/>
          <w:sz w:val="32"/>
          <w:szCs w:val="32"/>
          <w:lang w:val="en-US" w:eastAsia="zh-CN"/>
        </w:rPr>
        <w:t>2.40</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eastAsia="zh-CN"/>
        </w:rPr>
        <w:t>4.70</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after="0" w:line="600" w:lineRule="exact"/>
        <w:ind w:firstLine="640" w:firstLineChars="200"/>
        <w:jc w:val="both"/>
        <w:rPr>
          <w:rFonts w:hint="eastAsia" w:ascii="仿宋_GB2312" w:hAnsi="仿宋_GB2312" w:eastAsia="仿宋_GB2312" w:cs="仿宋_GB2312"/>
          <w:color w:val="auto"/>
          <w:sz w:val="32"/>
          <w:szCs w:val="32"/>
          <w:lang w:val="en-US" w:eastAsia="zh-CN" w:bidi="ar-SA"/>
        </w:rPr>
      </w:pPr>
      <w:r>
        <w:rPr>
          <w:rFonts w:hint="eastAsia" w:ascii="楷体_GB2312" w:hAnsi="楷体_GB2312" w:eastAsia="楷体_GB2312" w:cs="楷体_GB2312"/>
          <w:bCs/>
          <w:color w:val="auto"/>
          <w:sz w:val="32"/>
          <w:szCs w:val="32"/>
        </w:rPr>
        <w:t>（二）动能转换加快推进。</w:t>
      </w:r>
      <w:r>
        <w:rPr>
          <w:rFonts w:hint="eastAsia" w:ascii="仿宋_GB2312" w:hAnsi="仿宋_GB2312" w:eastAsia="仿宋_GB2312" w:cs="仿宋_GB2312"/>
          <w:color w:val="auto"/>
          <w:sz w:val="32"/>
          <w:szCs w:val="32"/>
          <w:lang w:val="en-US" w:eastAsia="zh-CN" w:bidi="ar-SA"/>
        </w:rPr>
        <w:t>坚持“存量变革”与“增量崛起”并举，化解淘汰过剩落后产能、运用新技术改造提升传统产业，培育发展前景广阔的新兴产业，促进产业能级整体跃升。（1）传统产业加快转型升级。实施工业技改项目117个，完成投资56.7亿元、增长83%。泰钢、九羊位列中国民营企业500强。数字赋能成效显著，新增上云企业500家，30家企业获评市级数字化工厂、智慧车间。万兴食品等23家企业被评为全市实体经济领先企业。（2）新兴产业发展壮大。智能制造与高端装备产业蓬勃发展，智能网联重卡项目顺利投产、豪驰新能源商用车整车下线，重卡二期、凯傲叉车加快建设，山能重装的6个战略新兴项目达产成效。生物医药产业全面起势，医药产业园二期投入使用，华安全降解心脏支架、朗润核磁共振投产上市。正泰线缆等3家企业获评全市先进制造业领军企业。（3）创新驱动发展战略取得明显成效。高新技术产业投资同比增长155.8%，新认定国家高新技术企业77家、国家科技型中小企业135家、“专精特新”企业9家、“瞪羚”企业4家。加大科技研发投入，全社会研发投入占GDP比重增长4%，技术合同认定额达5.1亿元。（4）现代服务业稳步发展。营昊物流交易中心、嬴昊财富广场等项目加快建设，省工委旧址陈列馆主体完工，房干景区、雪野航空科技体育公园入选全省首批旅游示范基地。限上贸易业商品销售额增长23.2%。（5）特色农业提质增效。新增高标准农田1.2万亩，推广水肥一体化1.2万亩。新培育省级农业龙头企业5家、市级3家。“莱芜猪”地标获评地理标志农产品保护工程项目。莱芜区获评全国主要农作物全程机械化示范区、全省首批农产品出口产品集聚区、全省休闲农业和乡村旅游示范区。</w:t>
      </w:r>
    </w:p>
    <w:p>
      <w:pPr>
        <w:keepNext w:val="0"/>
        <w:keepLines w:val="0"/>
        <w:pageBreakBefore w:val="0"/>
        <w:widowControl w:val="0"/>
        <w:kinsoku/>
        <w:wordWrap/>
        <w:overflowPunct/>
        <w:topLinePunct w:val="0"/>
        <w:autoSpaceDE/>
        <w:autoSpaceDN/>
        <w:bidi w:val="0"/>
        <w:spacing w:after="0" w:line="600" w:lineRule="exact"/>
        <w:ind w:firstLine="640" w:firstLineChars="200"/>
        <w:jc w:val="both"/>
        <w:rPr>
          <w:rFonts w:ascii="仿宋_GB2312" w:hAnsi="仿宋_GB2312" w:eastAsia="仿宋_GB2312" w:cs="仿宋_GB2312"/>
          <w:color w:val="auto"/>
          <w:sz w:val="32"/>
          <w:szCs w:val="32"/>
          <w:u w:val="single"/>
        </w:rPr>
      </w:pPr>
      <w:r>
        <w:rPr>
          <w:rFonts w:hint="eastAsia" w:ascii="楷体_GB2312" w:hAnsi="楷体_GB2312" w:eastAsia="楷体_GB2312" w:cs="楷体_GB2312"/>
          <w:color w:val="auto"/>
          <w:sz w:val="32"/>
          <w:szCs w:val="32"/>
        </w:rPr>
        <w:t>（三）大项目建设提质增效。</w:t>
      </w:r>
      <w:r>
        <w:rPr>
          <w:rFonts w:hint="eastAsia" w:ascii="仿宋_GB2312" w:hAnsi="仿宋_GB2312" w:eastAsia="仿宋_GB2312" w:cs="仿宋_GB2312"/>
          <w:color w:val="auto"/>
          <w:sz w:val="32"/>
          <w:szCs w:val="32"/>
        </w:rPr>
        <w:t>扎实开展项目建设大排名活动，促进产业转型升级，全区项目质量和水平不断提高。</w:t>
      </w:r>
      <w:r>
        <w:rPr>
          <w:rFonts w:hint="eastAsia" w:ascii="仿宋_GB2312" w:hAnsi="仿宋_GB2312" w:eastAsia="仿宋_GB2312" w:cs="仿宋_GB2312"/>
          <w:color w:val="auto"/>
          <w:sz w:val="32"/>
          <w:szCs w:val="32"/>
          <w:lang w:val="en-US" w:eastAsia="zh-CN"/>
        </w:rPr>
        <w:t>全年</w:t>
      </w:r>
      <w:r>
        <w:rPr>
          <w:rFonts w:hint="eastAsia" w:ascii="仿宋_GB2312" w:hAnsi="仿宋_GB2312" w:eastAsia="仿宋_GB2312" w:cs="仿宋_GB2312"/>
          <w:color w:val="auto"/>
          <w:sz w:val="32"/>
          <w:szCs w:val="32"/>
        </w:rPr>
        <w:t>在建大项目达到150个，总投资过10亿元项目17个，过5亿元项目35个；新开工智能网联（新能源）重卡等大项目82个，泰嘉不锈钢冷轧板材深加工</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63个项目竣工投产，项目开工和投产均超额完成年度目标任务。23个市级重点建设项目全部按照倒排工期时间节点开工建设，完成投资122.06亿元，超</w:t>
      </w:r>
      <w:r>
        <w:rPr>
          <w:rFonts w:hint="eastAsia" w:ascii="仿宋_GB2312" w:hAnsi="仿宋_GB2312" w:eastAsia="仿宋_GB2312" w:cs="仿宋_GB2312"/>
          <w:color w:val="auto"/>
          <w:sz w:val="32"/>
          <w:szCs w:val="32"/>
          <w:lang w:val="en-US" w:eastAsia="zh-CN"/>
        </w:rPr>
        <w:t>年度投资计划</w:t>
      </w:r>
      <w:r>
        <w:rPr>
          <w:rFonts w:hint="eastAsia" w:ascii="仿宋_GB2312" w:hAnsi="仿宋_GB2312" w:eastAsia="仿宋_GB2312" w:cs="仿宋_GB2312"/>
          <w:color w:val="auto"/>
          <w:sz w:val="32"/>
          <w:szCs w:val="32"/>
        </w:rPr>
        <w:t>24.13个百分点，</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年底全市重点项目建设观摩评议活动中取得第三名的好成绩，实现了进入全市项目建设第一方阵的目标。3个省重大建设项目完成投资52.66亿元，超年度投资计划42.35个百分点。豪驰汽车拥有自主知识产权的AC7车型于</w:t>
      </w:r>
      <w:r>
        <w:rPr>
          <w:rFonts w:hint="eastAsia" w:ascii="仿宋_GB2312" w:hAnsi="仿宋_GB2312" w:eastAsia="仿宋_GB2312" w:cs="仿宋_GB2312"/>
          <w:color w:val="auto"/>
          <w:sz w:val="32"/>
          <w:szCs w:val="32"/>
          <w:lang w:val="en-US" w:eastAsia="zh-CN"/>
        </w:rPr>
        <w:t>去年底</w:t>
      </w:r>
      <w:r>
        <w:rPr>
          <w:rFonts w:hint="eastAsia" w:ascii="仿宋_GB2312" w:hAnsi="仿宋_GB2312" w:eastAsia="仿宋_GB2312" w:cs="仿宋_GB2312"/>
          <w:color w:val="auto"/>
          <w:sz w:val="32"/>
          <w:szCs w:val="32"/>
        </w:rPr>
        <w:t>正式下线。省重点基础设施项目2个，莱芜城区外环路工程任家洼至羊庄段项目已完成安置补偿方案公告、社会稳定风险评估备案等相关手续，预计今年上半年可建成通车。7个省新旧动能转换优选项目完成投资17.38亿元，超年度投资计划24.28个百分点。</w:t>
      </w:r>
    </w:p>
    <w:p>
      <w:pPr>
        <w:keepNext w:val="0"/>
        <w:keepLines w:val="0"/>
        <w:pageBreakBefore w:val="0"/>
        <w:widowControl w:val="0"/>
        <w:kinsoku/>
        <w:wordWrap/>
        <w:overflowPunct/>
        <w:topLinePunct w:val="0"/>
        <w:autoSpaceDE/>
        <w:autoSpaceDN/>
        <w:bidi w:val="0"/>
        <w:spacing w:after="0" w:line="60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（四）城乡融合发展成果丰硕。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主城区加快提质增容。加强基础设施建设，推进环境整治提升。文化路、凤凰路改造提升竣工通车；主城区3110套棚户区、2532户老旧小区改造开工建设；重工新城完成拆迁</w:t>
      </w:r>
      <w:r>
        <w:rPr>
          <w:rFonts w:hint="eastAsia" w:ascii="仿宋_GB2312" w:hAnsi="仿宋_GB2312" w:eastAsia="仿宋_GB2312" w:cs="仿宋_GB2312"/>
          <w:color w:val="auto"/>
          <w:sz w:val="32"/>
          <w:szCs w:val="32"/>
          <w:lang w:val="en-US" w:eastAsia="zh-CN"/>
        </w:rPr>
        <w:t>6930</w:t>
      </w:r>
      <w:r>
        <w:rPr>
          <w:rFonts w:hint="eastAsia" w:ascii="仿宋_GB2312" w:hAnsi="仿宋_GB2312" w:eastAsia="仿宋_GB2312" w:cs="仿宋_GB2312"/>
          <w:color w:val="auto"/>
          <w:sz w:val="32"/>
          <w:szCs w:val="32"/>
        </w:rPr>
        <w:t>户，地下管网基本完成；建成5G基站494个，济南莱芜通信网络实现并网。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乡村振兴全面推进。推行区属国企参与乡村振兴新模式，提升改造“四好农村路”342公里，</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个村实施农村生活污水治理</w:t>
      </w:r>
      <w:r>
        <w:rPr>
          <w:rFonts w:hint="eastAsia" w:ascii="仿宋_GB2312" w:hAnsi="仿宋_GB2312" w:eastAsia="仿宋_GB2312" w:cs="仿宋_GB2312"/>
          <w:color w:val="auto"/>
          <w:sz w:val="32"/>
          <w:szCs w:val="32"/>
          <w:lang w:val="en-US" w:eastAsia="zh-CN"/>
        </w:rPr>
        <w:t>提升改造</w:t>
      </w:r>
      <w:r>
        <w:rPr>
          <w:rFonts w:hint="eastAsia" w:ascii="仿宋_GB2312" w:hAnsi="仿宋_GB2312" w:eastAsia="仿宋_GB2312" w:cs="仿宋_GB2312"/>
          <w:color w:val="auto"/>
          <w:sz w:val="32"/>
          <w:szCs w:val="32"/>
        </w:rPr>
        <w:t>工程，农村污水处理率</w:t>
      </w:r>
      <w:r>
        <w:rPr>
          <w:rFonts w:hint="eastAsia" w:ascii="仿宋_GB2312" w:hAnsi="仿宋_GB2312" w:eastAsia="仿宋_GB2312" w:cs="仿宋_GB2312"/>
          <w:color w:val="auto"/>
          <w:sz w:val="32"/>
          <w:szCs w:val="32"/>
          <w:lang w:val="en-US" w:eastAsia="zh-CN"/>
        </w:rPr>
        <w:t>超过35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强化美丽乡村建设，</w:t>
      </w:r>
      <w:r>
        <w:rPr>
          <w:rFonts w:hint="eastAsia" w:ascii="仿宋_GB2312" w:hAnsi="仿宋_GB2312" w:eastAsia="仿宋_GB2312" w:cs="仿宋_GB2312"/>
          <w:color w:val="auto"/>
          <w:sz w:val="32"/>
          <w:szCs w:val="32"/>
        </w:rPr>
        <w:t>建成省级美丽乡村示范村10个，创建中国美丽休闲村庄1个，农村人居环境持续改善。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城市发展空间</w:t>
      </w:r>
      <w:r>
        <w:rPr>
          <w:rFonts w:hint="eastAsia" w:ascii="仿宋_GB2312" w:hAnsi="仿宋_GB2312" w:eastAsia="仿宋_GB2312" w:cs="仿宋_GB2312"/>
          <w:color w:val="auto"/>
          <w:sz w:val="32"/>
          <w:szCs w:val="32"/>
          <w:lang w:val="en-US" w:eastAsia="zh-CN"/>
        </w:rPr>
        <w:t>不断</w:t>
      </w:r>
      <w:r>
        <w:rPr>
          <w:rFonts w:hint="eastAsia" w:ascii="仿宋_GB2312" w:hAnsi="仿宋_GB2312" w:eastAsia="仿宋_GB2312" w:cs="仿宋_GB2312"/>
          <w:color w:val="auto"/>
          <w:sz w:val="32"/>
          <w:szCs w:val="32"/>
        </w:rPr>
        <w:t>拓展。口镇、羊里、雪野、方下撤镇设街，进一步拓展城市框架。深化城区管理改革，全面推行“路长制”，拆除违建</w:t>
      </w:r>
      <w:r>
        <w:rPr>
          <w:rFonts w:hint="eastAsia" w:ascii="仿宋_GB2312" w:hAnsi="仿宋_GB2312" w:eastAsia="仿宋_GB2312" w:cs="仿宋_GB2312"/>
          <w:color w:val="auto"/>
          <w:sz w:val="32"/>
          <w:szCs w:val="32"/>
          <w:lang w:val="en-US" w:eastAsia="zh-CN"/>
        </w:rPr>
        <w:t>315</w:t>
      </w:r>
      <w:r>
        <w:rPr>
          <w:rFonts w:hint="eastAsia" w:ascii="仿宋_GB2312" w:hAnsi="仿宋_GB2312" w:eastAsia="仿宋_GB2312" w:cs="仿宋_GB2312"/>
          <w:color w:val="auto"/>
          <w:sz w:val="32"/>
          <w:szCs w:val="32"/>
        </w:rPr>
        <w:t>万平方米、户外广告9000余处，无违建镇街达到80%。</w:t>
      </w:r>
      <w:r>
        <w:rPr>
          <w:rFonts w:hint="eastAsia" w:ascii="仿宋_GB2312" w:hAnsi="仿宋_GB2312" w:eastAsia="仿宋_GB2312" w:cs="仿宋_GB2312"/>
          <w:color w:val="auto"/>
          <w:sz w:val="32"/>
          <w:szCs w:val="32"/>
          <w:lang w:val="en-US" w:eastAsia="zh-CN"/>
        </w:rPr>
        <w:t>有序推进垃圾分类，初步建成“四分类”体系。</w:t>
      </w:r>
    </w:p>
    <w:p>
      <w:pPr>
        <w:keepNext w:val="0"/>
        <w:keepLines w:val="0"/>
        <w:pageBreakBefore w:val="0"/>
        <w:widowControl w:val="0"/>
        <w:kinsoku/>
        <w:wordWrap/>
        <w:overflowPunct/>
        <w:topLinePunct w:val="0"/>
        <w:autoSpaceDE/>
        <w:autoSpaceDN/>
        <w:bidi w:val="0"/>
        <w:spacing w:after="0" w:line="60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（五）重点领域改革持续深化。</w:t>
      </w:r>
      <w:r>
        <w:rPr>
          <w:rFonts w:hint="eastAsia" w:ascii="仿宋_GB2312" w:hAnsi="仿宋_GB2312" w:eastAsia="仿宋_GB2312" w:cs="仿宋_GB2312"/>
          <w:color w:val="auto"/>
          <w:sz w:val="32"/>
          <w:szCs w:val="32"/>
        </w:rPr>
        <w:t>坚持问题导向、需求导向、目标导向，大力推进市场化改革，政务服务效能和营商环境显著提升。</w:t>
      </w:r>
      <w:r>
        <w:rPr>
          <w:rFonts w:hint="eastAsia" w:ascii="仿宋_GB2312" w:hAnsi="仿宋_GB2312" w:eastAsia="仿宋_GB2312" w:cs="仿宋_GB2312"/>
          <w:color w:val="auto"/>
          <w:sz w:val="32"/>
          <w:szCs w:val="32"/>
          <w:lang w:val="en-US" w:eastAsia="zh-CN"/>
        </w:rPr>
        <w:t>307个事项进大厅，100个高频事项“一次办”“马上办”，110个事项实现“一窗受理”，全区政务服务的集聚效应逐渐显现。“一业一证”改革扩大到22个行业，实现“一证准营”“一码覆盖”“一证通行”。三级政务服务实现全覆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拿地即开工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审批不超过15个工作日，审批更加便捷高效。凯傲叉车项目实现“拿地”12小时内“四证齐发”，再次刷新“莱芜速度”。中央及省市媒体多次报道我区优化营商环境的经验做法。</w:t>
      </w:r>
    </w:p>
    <w:p>
      <w:pPr>
        <w:keepNext w:val="0"/>
        <w:keepLines w:val="0"/>
        <w:pageBreakBefore w:val="0"/>
        <w:widowControl w:val="0"/>
        <w:kinsoku/>
        <w:wordWrap/>
        <w:overflowPunct/>
        <w:topLinePunct w:val="0"/>
        <w:autoSpaceDE/>
        <w:autoSpaceDN/>
        <w:bidi w:val="0"/>
        <w:spacing w:after="0" w:line="60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Cs/>
          <w:color w:val="auto"/>
          <w:sz w:val="32"/>
          <w:szCs w:val="32"/>
        </w:rPr>
        <w:t>（六）生态</w:t>
      </w:r>
      <w:r>
        <w:rPr>
          <w:rFonts w:hint="eastAsia" w:ascii="楷体_GB2312" w:hAnsi="楷体_GB2312" w:eastAsia="楷体_GB2312" w:cs="楷体_GB2312"/>
          <w:bCs/>
          <w:color w:val="auto"/>
          <w:sz w:val="32"/>
          <w:szCs w:val="32"/>
          <w:lang w:val="en-US" w:eastAsia="zh-CN"/>
        </w:rPr>
        <w:t>治理</w:t>
      </w:r>
      <w:r>
        <w:rPr>
          <w:rFonts w:hint="eastAsia" w:ascii="楷体_GB2312" w:hAnsi="楷体_GB2312" w:eastAsia="楷体_GB2312" w:cs="楷体_GB2312"/>
          <w:bCs/>
          <w:color w:val="auto"/>
          <w:sz w:val="32"/>
          <w:szCs w:val="32"/>
        </w:rPr>
        <w:t>成效显著。</w:t>
      </w:r>
      <w:r>
        <w:rPr>
          <w:rFonts w:hint="eastAsia" w:ascii="仿宋_GB2312" w:hAnsi="仿宋_GB2312" w:eastAsia="仿宋_GB2312" w:cs="仿宋_GB2312"/>
          <w:color w:val="auto"/>
          <w:sz w:val="32"/>
          <w:szCs w:val="32"/>
          <w:lang w:val="en-US" w:eastAsia="zh-CN"/>
        </w:rPr>
        <w:t>雪野风景名胜区专项整治成效显著，发展空间进一步拓展。</w:t>
      </w:r>
      <w:r>
        <w:rPr>
          <w:rFonts w:hint="eastAsia" w:ascii="仿宋_GB2312" w:hAnsi="仿宋_GB2312" w:eastAsia="仿宋_GB2312" w:cs="仿宋_GB2312"/>
          <w:color w:val="auto"/>
          <w:sz w:val="32"/>
          <w:szCs w:val="32"/>
        </w:rPr>
        <w:t>节能减排富有成效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十三五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期间单位地区生产总值能耗累计下降23.5%，</w:t>
      </w:r>
      <w:r>
        <w:rPr>
          <w:rFonts w:hint="eastAsia" w:ascii="仿宋_GB2312" w:hAnsi="仿宋_GB2312" w:eastAsia="仿宋_GB2312" w:cs="仿宋_GB2312"/>
          <w:color w:val="auto"/>
          <w:sz w:val="32"/>
          <w:szCs w:val="32"/>
        </w:rPr>
        <w:t>扎实推进煤炭消费减量替代行动，顺利完成全年压减煤炭消费任务；深入推广清洁取暖替代和小煤炉取缔工作，主城区小煤炉、小柴灶基本实现“清零”，淘汰提升工业炉窑115台，完成清洁取暖改造7.5万户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空气质量改善率达到13.1%</w:t>
      </w:r>
      <w:r>
        <w:rPr>
          <w:rFonts w:hint="eastAsia" w:ascii="仿宋_GB2312" w:hAnsi="仿宋_GB2312" w:eastAsia="仿宋_GB2312" w:cs="仿宋_GB2312"/>
          <w:color w:val="auto"/>
          <w:sz w:val="32"/>
          <w:szCs w:val="32"/>
        </w:rPr>
        <w:t>；发展清洁能源，</w:t>
      </w:r>
      <w:r>
        <w:rPr>
          <w:rFonts w:hint="eastAsia" w:ascii="仿宋_GB2312" w:hAnsi="仿宋_GB2312" w:eastAsia="仿宋_GB2312" w:cs="仿宋_GB2312"/>
          <w:color w:val="auto"/>
          <w:sz w:val="32"/>
          <w:szCs w:val="32"/>
          <w:lang w:val="en-US" w:eastAsia="zh-CN"/>
        </w:rPr>
        <w:t>全区清洁能源装机容量达到35万千瓦时。</w:t>
      </w:r>
      <w:r>
        <w:rPr>
          <w:rFonts w:hint="eastAsia" w:ascii="仿宋_GB2312" w:hAnsi="仿宋_GB2312" w:eastAsia="仿宋_GB2312" w:cs="仿宋_GB2312"/>
          <w:color w:val="auto"/>
          <w:sz w:val="32"/>
          <w:szCs w:val="32"/>
        </w:rPr>
        <w:t>启动省级以上开发区和化工园区循环化改造工作，培育一批绿色制造示范企业，完成节能改造项目20个。贯彻落实河湖长制，深入排查治理黑臭水体，城镇集中式饮用水水源地水质全部达到三类水标准。</w:t>
      </w:r>
      <w:r>
        <w:rPr>
          <w:rFonts w:hint="eastAsia" w:ascii="仿宋_GB2312" w:hAnsi="仿宋_GB2312" w:eastAsia="仿宋_GB2312" w:cs="仿宋_GB2312"/>
          <w:color w:val="auto"/>
          <w:sz w:val="32"/>
          <w:szCs w:val="32"/>
          <w:lang w:val="en-US" w:eastAsia="zh-CN"/>
        </w:rPr>
        <w:t>完成造林绿化2.75万亩，创建省级森林村居7个。</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rPr>
          <w:rFonts w:hint="eastAsia" w:ascii="仿宋_GB2312" w:hAnsi="仿宋_GB2312" w:eastAsia="仿宋_GB2312" w:cs="仿宋_GB2312"/>
          <w:color w:val="auto"/>
          <w:kern w:val="2"/>
          <w:sz w:val="32"/>
          <w:szCs w:val="32"/>
          <w:lang w:val="en-US" w:eastAsia="zh-CN"/>
        </w:rPr>
      </w:pPr>
      <w:bookmarkStart w:id="0" w:name="_Toc58232687"/>
      <w:r>
        <w:rPr>
          <w:rFonts w:hint="eastAsia" w:ascii="楷体_GB2312" w:hAnsi="楷体_GB2312" w:eastAsia="楷体_GB2312" w:cs="楷体_GB2312"/>
          <w:color w:val="auto"/>
          <w:kern w:val="2"/>
          <w:sz w:val="32"/>
          <w:szCs w:val="32"/>
          <w:lang w:eastAsia="zh-CN"/>
        </w:rPr>
        <w:t>（七）</w:t>
      </w:r>
      <w:r>
        <w:rPr>
          <w:rFonts w:hint="eastAsia" w:ascii="楷体_GB2312" w:hAnsi="楷体_GB2312" w:eastAsia="楷体_GB2312" w:cs="楷体_GB2312"/>
          <w:color w:val="auto"/>
          <w:kern w:val="2"/>
          <w:sz w:val="32"/>
          <w:szCs w:val="32"/>
        </w:rPr>
        <w:t>民生福祉明显提升。</w:t>
      </w:r>
      <w:r>
        <w:rPr>
          <w:rFonts w:hint="eastAsia" w:ascii="楷体_GB2312" w:hAnsi="楷体_GB2312" w:eastAsia="楷体_GB2312" w:cs="楷体_GB2312"/>
          <w:color w:val="auto"/>
          <w:kern w:val="2"/>
          <w:sz w:val="32"/>
          <w:szCs w:val="32"/>
          <w:lang w:eastAsia="zh-CN"/>
        </w:rPr>
        <w:t>（</w:t>
      </w:r>
      <w:r>
        <w:rPr>
          <w:rFonts w:hint="eastAsia" w:ascii="楷体_GB2312" w:hAnsi="楷体_GB2312" w:eastAsia="楷体_GB2312" w:cs="楷体_GB2312"/>
          <w:color w:val="auto"/>
          <w:kern w:val="2"/>
          <w:sz w:val="32"/>
          <w:szCs w:val="32"/>
          <w:lang w:val="en-US" w:eastAsia="zh-CN"/>
        </w:rPr>
        <w:t>1</w:t>
      </w:r>
      <w:r>
        <w:rPr>
          <w:rFonts w:hint="eastAsia" w:ascii="楷体_GB2312" w:hAnsi="楷体_GB2312" w:eastAsia="楷体_GB2312" w:cs="楷体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坚持把保障和改善民生作为出发点和落脚点，全年累计用于改善民生的各项支出达到60亿元，占财政总支出的比重达到82%。就业创业稳步推进，落实各类资金11.02亿元，新增城镇就业1.15万人，接收安置军转干部、退役士兵80人。（2）社保体系更加健全，基本医保参保率达到96.1%，城乡低保标准分别提高到821元/月和614元/月，支付医保基金12亿元，受益人口23万人。（3）养老体系更加完善，全年发放养老保险资金40.9亿元，受益群众26.6万人，建成农村幸福院25处、公益性公墓28座。（4）教育资源更加均衡，建成标准化家长学校80所、标准化考场605个，完成校园提升工程5所、操场10处，新建提升各式足球场17片。（5）卫生健康蓬勃发展，新城医院基本建成，引进重点医疗项目3个、名医团队5个，创建省级卫生镇2个、卫生村130个，获评全国慢性病综合防控示范区。（6）脱贫攻坚成效巩固，建档立卡贫困人口人均收入达到10275元，贫困村集体收入全部突破10万元。（7）文化事业更加繁荣，新时代文明实践中心（站）、村级综合性文化服务中心实现全覆盖，所有贫困家庭实现广播电视户户通，融媒体中心建成运营。（8）社会治理更加有效，扫黑除恶专项斗争深入推进，连续11年保持命案全破，群众安全感连续两年全市第一，新产生信访事项一次化解率达95%以上。安全生产、防汛抗旱、森林防火形势平稳，食品药品、公共资源管理、民政、档案、粮食、民宗、台务、外事、残联、供销、双拥、妇女、儿童和老龄等事业蓬勃发展。</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一年来,全区经济社会发展总体平稳、稳中有进,但仍存在一些问题和不足,主要是</w:t>
      </w:r>
      <w:r>
        <w:rPr>
          <w:rFonts w:hint="eastAsia" w:ascii="仿宋_GB2312" w:hAnsi="仿宋_GB2312" w:eastAsia="仿宋_GB2312" w:cs="仿宋_GB2312"/>
          <w:color w:val="auto"/>
          <w:kern w:val="2"/>
          <w:sz w:val="32"/>
          <w:szCs w:val="32"/>
        </w:rPr>
        <w:t>：产业规模偏小、质量档次不高、创新驱动不强，产业链安全仍然存在风险；工业企业发展面临成本上升、融资困难等问题；项目建设受土地、资金等要素制约趋紧；城乡品质建设仍有较大欠缺，基本公共服务水平与人民群众需求有差距，社会治理水平亟需进一步提高改善。</w:t>
      </w:r>
    </w:p>
    <w:p>
      <w:pPr>
        <w:pStyle w:val="16"/>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outlineLvl w:val="0"/>
        <w:rPr>
          <w:rFonts w:ascii="黑体" w:hAnsi="黑体" w:eastAsia="黑体"/>
          <w:color w:val="auto"/>
          <w:sz w:val="32"/>
          <w:szCs w:val="32"/>
        </w:rPr>
      </w:pPr>
      <w:r>
        <w:rPr>
          <w:rStyle w:val="20"/>
          <w:rFonts w:hint="eastAsia" w:ascii="黑体" w:hAnsi="黑体" w:eastAsia="黑体"/>
          <w:b w:val="0"/>
          <w:bCs w:val="0"/>
          <w:color w:val="auto"/>
          <w:sz w:val="32"/>
          <w:szCs w:val="32"/>
        </w:rPr>
        <w:t>二、2021年经济社会发展总体要求和主要目标</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rPr>
        <w:t>（一）总体要求。</w:t>
      </w:r>
      <w:r>
        <w:rPr>
          <w:rFonts w:hint="eastAsia" w:ascii="仿宋_GB2312" w:hAnsi="仿宋_GB2312" w:eastAsia="仿宋_GB2312" w:cs="仿宋_GB2312"/>
          <w:color w:val="auto"/>
          <w:kern w:val="2"/>
          <w:sz w:val="32"/>
          <w:szCs w:val="32"/>
        </w:rPr>
        <w:t>2021年是“十四五”规划的开局之年，莱芜区将深入贯彻党的十九大和十九届二中、三中、四中、五中全会精神，聚焦省会城市副中心、黄河流域先进制造业中心</w:t>
      </w:r>
      <w:r>
        <w:rPr>
          <w:rFonts w:hint="eastAsia" w:ascii="仿宋_GB2312" w:hAnsi="Times New Roman" w:eastAsia="仿宋_GB2312" w:cs="Times New Roman"/>
          <w:bCs/>
          <w:color w:val="auto"/>
          <w:sz w:val="32"/>
          <w:szCs w:val="32"/>
        </w:rPr>
        <w:t>的发展定位</w:t>
      </w:r>
      <w:r>
        <w:rPr>
          <w:rFonts w:hint="eastAsia" w:ascii="仿宋_GB2312" w:hAnsi="仿宋_GB2312" w:eastAsia="仿宋_GB2312" w:cs="仿宋_GB2312"/>
          <w:color w:val="auto"/>
          <w:kern w:val="2"/>
          <w:sz w:val="32"/>
          <w:szCs w:val="32"/>
        </w:rPr>
        <w:t>，坚持“生态立区、实业强区”发展战略不动摇，在抓好常态化疫情防控前提下，抢抓发展机遇，攻坚实体经济，锐意改革创新，统筹城乡发展，增进民生福祉，全方位融入“东强”“南美”城市发展新格局，</w:t>
      </w:r>
      <w:r>
        <w:rPr>
          <w:rFonts w:hint="eastAsia" w:ascii="仿宋_GB2312" w:hAnsi="仿宋_GB2312" w:eastAsia="仿宋_GB2312" w:cs="仿宋_GB2312"/>
          <w:color w:val="auto"/>
          <w:kern w:val="2"/>
          <w:sz w:val="32"/>
          <w:szCs w:val="32"/>
          <w:lang w:val="en-US" w:eastAsia="zh-CN"/>
        </w:rPr>
        <w:t>加快经济社会发展实现跨越提升，</w:t>
      </w:r>
      <w:r>
        <w:rPr>
          <w:rFonts w:hint="eastAsia" w:ascii="仿宋_GB2312" w:hAnsi="仿宋_GB2312" w:eastAsia="仿宋_GB2312" w:cs="仿宋_GB2312"/>
          <w:color w:val="auto"/>
          <w:kern w:val="2"/>
          <w:sz w:val="32"/>
          <w:szCs w:val="32"/>
        </w:rPr>
        <w:t>奋力争当省会建设发展排头兵。</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rPr>
          <w:rFonts w:ascii="仿宋_GB2312" w:hAnsi="仿宋_GB2312" w:eastAsia="仿宋_GB2312" w:cs="仿宋_GB2312"/>
          <w:color w:val="auto"/>
          <w:kern w:val="2"/>
          <w:sz w:val="32"/>
          <w:szCs w:val="32"/>
        </w:rPr>
      </w:pPr>
      <w:r>
        <w:rPr>
          <w:rFonts w:hint="eastAsia" w:ascii="楷体_GB2312" w:hAnsi="楷体_GB2312" w:eastAsia="楷体_GB2312" w:cs="楷体_GB2312"/>
          <w:color w:val="auto"/>
          <w:kern w:val="2"/>
          <w:sz w:val="32"/>
          <w:szCs w:val="32"/>
        </w:rPr>
        <w:t>（二）主要目标。</w:t>
      </w:r>
      <w:r>
        <w:rPr>
          <w:rFonts w:hint="eastAsia" w:ascii="仿宋_GB2312" w:hAnsi="仿宋_GB2312" w:eastAsia="仿宋_GB2312" w:cs="仿宋_GB2312"/>
          <w:color w:val="auto"/>
          <w:kern w:val="2"/>
          <w:sz w:val="32"/>
          <w:szCs w:val="32"/>
        </w:rPr>
        <w:t>综合分析发展基础、发展环境和发展需要，今年经济社会发展主要预期目标是：地区生产总值增长8.5%以上，一般公共预算收入增长10%左右，规模以上工业增加值增长15%以上，固定资产投资增长16%以上，社会消费品零售总额增长10%左右，城乡居民人均可支配收入分别增长8%和9%，单位生产总值能耗下降率及主要污染物减排量达到市控目标。</w:t>
      </w:r>
    </w:p>
    <w:p>
      <w:pPr>
        <w:pStyle w:val="16"/>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rPr>
          <w:rFonts w:ascii="黑体" w:hAnsi="黑体" w:eastAsia="黑体"/>
          <w:color w:val="auto"/>
          <w:sz w:val="32"/>
          <w:szCs w:val="32"/>
        </w:rPr>
      </w:pPr>
      <w:r>
        <w:rPr>
          <w:rStyle w:val="20"/>
          <w:rFonts w:hint="eastAsia" w:ascii="黑体" w:hAnsi="黑体" w:eastAsia="黑体"/>
          <w:b w:val="0"/>
          <w:bCs w:val="0"/>
          <w:color w:val="auto"/>
          <w:sz w:val="32"/>
          <w:szCs w:val="32"/>
        </w:rPr>
        <w:t>三、2021年经济社会发展主要措施</w:t>
      </w:r>
    </w:p>
    <w:bookmarkEnd w:id="0"/>
    <w:p>
      <w:pPr>
        <w:pStyle w:val="36"/>
        <w:keepNext w:val="0"/>
        <w:keepLines w:val="0"/>
        <w:pageBreakBefore w:val="0"/>
        <w:widowControl w:val="0"/>
        <w:kinsoku/>
        <w:wordWrap/>
        <w:overflowPunct/>
        <w:topLinePunct w:val="0"/>
        <w:autoSpaceDE/>
        <w:autoSpaceDN/>
        <w:bidi w:val="0"/>
        <w:adjustRightInd w:val="0"/>
        <w:snapToGrid w:val="0"/>
        <w:spacing w:after="0" w:line="600" w:lineRule="exact"/>
        <w:ind w:firstLine="720"/>
        <w:jc w:val="both"/>
        <w:textAlignment w:val="baseline"/>
        <w:rPr>
          <w:rFonts w:hint="eastAsia" w:ascii="仿宋_GB2312" w:hAnsi="仿宋_GB2312" w:eastAsia="仿宋_GB2312" w:cs="仿宋_GB2312"/>
          <w:color w:val="auto"/>
          <w:kern w:val="2"/>
          <w:sz w:val="32"/>
          <w:szCs w:val="32"/>
          <w:lang w:val="en-US" w:eastAsia="zh-CN"/>
        </w:rPr>
      </w:pPr>
      <w:r>
        <w:rPr>
          <w:rFonts w:hint="eastAsia" w:ascii="楷体_GB2312" w:hAnsi="楷体_GB2312" w:eastAsia="楷体_GB2312" w:cs="楷体_GB2312"/>
          <w:color w:val="auto"/>
          <w:kern w:val="2"/>
          <w:sz w:val="32"/>
          <w:szCs w:val="32"/>
          <w:lang w:eastAsia="zh-CN"/>
        </w:rPr>
        <w:t>（</w:t>
      </w:r>
      <w:r>
        <w:rPr>
          <w:rFonts w:hint="eastAsia" w:ascii="楷体_GB2312" w:hAnsi="楷体_GB2312" w:eastAsia="楷体_GB2312" w:cs="楷体_GB2312"/>
          <w:color w:val="auto"/>
          <w:kern w:val="2"/>
          <w:sz w:val="32"/>
          <w:szCs w:val="32"/>
          <w:lang w:val="en-US" w:eastAsia="zh-CN"/>
        </w:rPr>
        <w:t>一</w:t>
      </w:r>
      <w:r>
        <w:rPr>
          <w:rFonts w:hint="eastAsia" w:ascii="楷体_GB2312" w:hAnsi="楷体_GB2312" w:eastAsia="楷体_GB2312" w:cs="楷体_GB2312"/>
          <w:color w:val="auto"/>
          <w:kern w:val="2"/>
          <w:sz w:val="32"/>
          <w:szCs w:val="32"/>
          <w:lang w:eastAsia="zh-CN"/>
        </w:rPr>
        <w:t>）</w:t>
      </w:r>
      <w:r>
        <w:rPr>
          <w:rFonts w:hint="eastAsia" w:ascii="楷体_GB2312" w:hAnsi="楷体_GB2312" w:eastAsia="楷体_GB2312" w:cs="楷体_GB2312"/>
          <w:color w:val="auto"/>
          <w:kern w:val="2"/>
          <w:sz w:val="32"/>
          <w:szCs w:val="32"/>
          <w:lang w:val="en-US" w:eastAsia="zh-CN"/>
        </w:rPr>
        <w:t>持续壮大现代产业体系。</w:t>
      </w:r>
      <w:r>
        <w:rPr>
          <w:rFonts w:hint="eastAsia" w:ascii="仿宋_GB2312" w:hAnsi="仿宋_GB2312" w:eastAsia="仿宋_GB2312" w:cs="仿宋_GB2312"/>
          <w:color w:val="auto"/>
          <w:kern w:val="2"/>
          <w:sz w:val="32"/>
          <w:szCs w:val="32"/>
          <w:lang w:val="en-US" w:eastAsia="zh-CN"/>
        </w:rPr>
        <w:t xml:space="preserve">围绕“3+3”现代产业体系，加快现有产业项目建设，加大项目招引力度，筑牢发展平台，提高项目承接能力。（1）加快重点项目建设。坚持“要素跟着项目走”，突出抓好8个省级、29个市级重点项目建设。智能制造与高端装备产业，突出抓好山东重工绿色智造产业城建设，确保智能网联重卡一期7月份全部达产，重卡二期年底建设完成，豪驰汽车实现年产值15亿元；先进材料产业，围绕泰嘉不锈钢，规划建设泰钢不锈钢产业园，推动华烨不锈钢制管项目落地，推进九羊打造高端特钢基地。以爱地高分子、莱威新材料等骨干企业为依托，高起点规划建设高新区精细化工与新材料产业园和嬴城新材料产业园，形成新材料及制品的规模化生产；生物医药产业，促进华安生物、登胜药业等企业扩大产能，加快宏济堂、江中制药等项目落地，启动建设医药产业园三期建设，叫响“鲁中新药谷”金字品牌。（2）强化项目招引力度。创新招引方式，推行“投促+部门+功能区（镇、街道）”招商模式，坚持线上线下同步推进，“走出去”“请进来”双向发力，围绕全省“十强”产业集群、全市十大千亿产业集群和全区“3+3”产业体系，瞄准国际、国内五百强企业，强化产业链招商、平台招商、以商招商等措施，年内争取引进过亿元项目70个，完成招商引资120亿元。（3）打造产业发展平台。持续推进平台载体建设，提高平台载体项目承载力，把平台载体作为承接实体经济发展的主战场、主平台，加快推动要素资源向平台载体倾斜。莱芜高新区要以国家级平台为依托，推动产业链创新链深度融合，加快建设现代化产业体系，集中打造实业强区、黄河流域先进制造业中心的主阵地。雪野旅游区充分发挥生态、区位和交通优势，高标准办好“一节一论坛”，打造济南“南美”靓丽新名片。莱芜农高区发挥国家农业科技园区、省级农高区等平台辐射带动作用，立足“农”，聚焦“高”和“新”，以园区化、工业化、智能化、融合化理念发展都市农业、智慧农业，引领全区农业现代化发展。  </w:t>
      </w:r>
    </w:p>
    <w:p>
      <w:pPr>
        <w:pStyle w:val="36"/>
        <w:keepNext w:val="0"/>
        <w:keepLines w:val="0"/>
        <w:pageBreakBefore w:val="0"/>
        <w:widowControl w:val="0"/>
        <w:kinsoku/>
        <w:wordWrap/>
        <w:overflowPunct/>
        <w:topLinePunct w:val="0"/>
        <w:autoSpaceDE/>
        <w:autoSpaceDN/>
        <w:bidi w:val="0"/>
        <w:adjustRightInd w:val="0"/>
        <w:snapToGrid w:val="0"/>
        <w:spacing w:after="0" w:line="600" w:lineRule="exact"/>
        <w:ind w:firstLine="720"/>
        <w:jc w:val="both"/>
        <w:textAlignment w:val="baseline"/>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2"/>
          <w:sz w:val="32"/>
          <w:szCs w:val="32"/>
          <w:lang w:val="en-US" w:eastAsia="zh-CN"/>
        </w:rPr>
        <w:t>（二）加快培育创新发展动能。</w:t>
      </w:r>
      <w:r>
        <w:rPr>
          <w:rFonts w:hint="eastAsia" w:ascii="仿宋_GB2312" w:hAnsi="仿宋_GB2312" w:eastAsia="仿宋_GB2312" w:cs="仿宋_GB2312"/>
          <w:color w:val="auto"/>
          <w:sz w:val="32"/>
          <w:szCs w:val="32"/>
        </w:rPr>
        <w:t>坚持创新在现代化建设全局中的核心地位，深入实施创新驱动发展战略，高效集聚创新要素，完善科技创新体系。</w:t>
      </w:r>
      <w:r>
        <w:rPr>
          <w:rFonts w:hint="eastAsia" w:ascii="仿宋_GB2312" w:hAnsi="仿宋_GB2312" w:eastAsia="仿宋_GB2312" w:cs="仿宋_GB2312"/>
          <w:color w:val="auto"/>
          <w:sz w:val="32"/>
          <w:szCs w:val="32"/>
          <w:lang w:val="en-US" w:eastAsia="zh-CN"/>
        </w:rPr>
        <w:t>年内新增高新技术企业45家，</w:t>
      </w:r>
      <w:r>
        <w:rPr>
          <w:rFonts w:hint="eastAsia" w:ascii="仿宋_GB2312" w:hAnsi="仿宋_GB2312" w:eastAsia="仿宋_GB2312" w:cs="仿宋_GB2312"/>
          <w:color w:val="auto"/>
          <w:sz w:val="32"/>
          <w:szCs w:val="32"/>
        </w:rPr>
        <w:t>全社会研发投入占GDP比重</w:t>
      </w:r>
      <w:r>
        <w:rPr>
          <w:rFonts w:hint="eastAsia" w:ascii="仿宋_GB2312" w:hAnsi="仿宋_GB2312" w:eastAsia="仿宋_GB2312" w:cs="仿宋_GB2312"/>
          <w:color w:val="auto"/>
          <w:sz w:val="32"/>
          <w:szCs w:val="32"/>
          <w:lang w:val="en-US" w:eastAsia="zh-CN"/>
        </w:rPr>
        <w:t>增长5%，万人有效发明专利拥有量增长15%以上。（1）加快创新平台载体建设。</w:t>
      </w:r>
      <w:r>
        <w:rPr>
          <w:rFonts w:hint="eastAsia" w:ascii="仿宋_GB2312" w:hAnsi="仿宋_GB2312" w:eastAsia="仿宋_GB2312" w:cs="仿宋_GB2312"/>
          <w:color w:val="auto"/>
          <w:sz w:val="32"/>
          <w:szCs w:val="32"/>
        </w:rPr>
        <w:t>落实各级激励政策，引导企业联合高校、科研院所合作共建实验室、研究中心、创新中心和新型研发机构。</w:t>
      </w:r>
      <w:r>
        <w:rPr>
          <w:rFonts w:hint="eastAsia" w:ascii="仿宋_GB2312" w:hAnsi="仿宋_GB2312" w:eastAsia="仿宋_GB2312" w:cs="仿宋_GB2312"/>
          <w:color w:val="auto"/>
          <w:sz w:val="32"/>
          <w:szCs w:val="32"/>
          <w:lang w:val="en-US" w:eastAsia="zh-CN"/>
        </w:rPr>
        <w:t>全力推进重汽技术中心实验室、青岛大学施耐德研究院、医药研发大厦等重大平台建设，促进更多科研成果在莱芜转移转化。（2）积极培育企业创新主体。</w:t>
      </w:r>
      <w:r>
        <w:rPr>
          <w:rFonts w:hint="eastAsia" w:ascii="仿宋_GB2312" w:hAnsi="仿宋_GB2312" w:eastAsia="仿宋_GB2312" w:cs="仿宋_GB2312"/>
          <w:color w:val="auto"/>
          <w:sz w:val="32"/>
          <w:szCs w:val="32"/>
        </w:rPr>
        <w:t>支持中小企业加大技改投入，应用关键技术、共性技术，加快生产工艺、装备的升级换代，向科技型中小企业转型。</w:t>
      </w:r>
      <w:r>
        <w:rPr>
          <w:rFonts w:hint="eastAsia" w:ascii="仿宋_GB2312" w:hAnsi="仿宋_GB2312" w:eastAsia="仿宋_GB2312" w:cs="仿宋_GB2312"/>
          <w:color w:val="auto"/>
          <w:sz w:val="32"/>
          <w:szCs w:val="32"/>
          <w:lang w:val="en-US" w:eastAsia="zh-CN"/>
        </w:rPr>
        <w:t>实施“企业成长计划”，培育“瞪羚”企业2家、专精特新企业8家。（3）</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val="en-US" w:eastAsia="zh-CN"/>
        </w:rPr>
        <w:t>创新</w:t>
      </w:r>
      <w:r>
        <w:rPr>
          <w:rFonts w:hint="eastAsia" w:ascii="仿宋_GB2312" w:hAnsi="仿宋_GB2312" w:eastAsia="仿宋_GB2312" w:cs="仿宋_GB2312"/>
          <w:color w:val="auto"/>
          <w:sz w:val="32"/>
          <w:szCs w:val="32"/>
        </w:rPr>
        <w:t>人才引进培育。聚焦产业发展，瞄准“高精尖缺”人才，深化“1+8”人才培养体系，做好产业引才文章，精准引进、梯次培育顶尖人才、产业领军人才和优秀青年人才。力争引进培养高层次创新创业人才和实用人才30人、急需紧缺人才400人、高技能人才500人，构筑人才集聚高地。</w:t>
      </w:r>
    </w:p>
    <w:p>
      <w:pPr>
        <w:pStyle w:val="35"/>
        <w:keepNext w:val="0"/>
        <w:keepLines w:val="0"/>
        <w:pageBreakBefore w:val="0"/>
        <w:widowControl/>
        <w:kinsoku/>
        <w:wordWrap/>
        <w:overflowPunct/>
        <w:topLinePunct w:val="0"/>
        <w:autoSpaceDE/>
        <w:autoSpaceDN/>
        <w:bidi w:val="0"/>
        <w:adjustRightInd w:val="0"/>
        <w:snapToGrid w:val="0"/>
        <w:spacing w:after="0" w:line="600" w:lineRule="exact"/>
        <w:ind w:firstLine="640"/>
        <w:jc w:val="both"/>
        <w:textAlignment w:val="auto"/>
        <w:rPr>
          <w:rFonts w:hint="default" w:ascii="仿宋_GB2312" w:hAnsi="仿宋_GB2312" w:eastAsia="仿宋_GB2312" w:cs="仿宋_GB2312"/>
          <w:color w:val="auto"/>
          <w:sz w:val="32"/>
          <w:szCs w:val="32"/>
          <w:lang w:val="en-US" w:eastAsia="zh-CN" w:bidi="ar-SA"/>
        </w:rPr>
      </w:pPr>
      <w:r>
        <w:rPr>
          <w:rFonts w:hint="eastAsia" w:ascii="楷体_GB2312" w:hAnsi="楷体_GB2312" w:eastAsia="楷体_GB2312" w:cs="楷体_GB2312"/>
          <w:color w:val="auto"/>
          <w:kern w:val="2"/>
          <w:sz w:val="32"/>
          <w:szCs w:val="32"/>
          <w:lang w:val="en-US" w:eastAsia="zh-CN"/>
        </w:rPr>
        <w:t>（三）聚力打造宜居精品城市。</w:t>
      </w:r>
      <w:r>
        <w:rPr>
          <w:rFonts w:hint="eastAsia" w:ascii="仿宋_GB2312" w:hAnsi="仿宋" w:eastAsia="仿宋_GB2312" w:cs="仿宋"/>
          <w:color w:val="auto"/>
          <w:sz w:val="32"/>
          <w:szCs w:val="32"/>
        </w:rPr>
        <w:t>增强</w:t>
      </w:r>
      <w:r>
        <w:rPr>
          <w:rFonts w:hint="eastAsia" w:ascii="仿宋_GB2312" w:hAnsi="仿宋" w:eastAsia="仿宋_GB2312" w:cs="仿宋"/>
          <w:color w:val="auto"/>
          <w:sz w:val="32"/>
          <w:szCs w:val="32"/>
          <w:lang w:val="en-US" w:eastAsia="zh-CN"/>
        </w:rPr>
        <w:t>城区</w:t>
      </w:r>
      <w:r>
        <w:rPr>
          <w:rFonts w:hint="eastAsia" w:ascii="仿宋_GB2312" w:hAnsi="仿宋" w:eastAsia="仿宋_GB2312" w:cs="仿宋"/>
          <w:color w:val="auto"/>
          <w:sz w:val="32"/>
          <w:szCs w:val="32"/>
        </w:rPr>
        <w:t>综合服务功</w:t>
      </w:r>
      <w:r>
        <w:rPr>
          <w:rFonts w:hint="eastAsia" w:ascii="仿宋_GB2312" w:hAnsi="仿宋_GB2312" w:eastAsia="仿宋_GB2312" w:cs="仿宋_GB2312"/>
          <w:color w:val="auto"/>
          <w:sz w:val="32"/>
          <w:szCs w:val="32"/>
          <w:lang w:val="en-US" w:eastAsia="zh-CN" w:bidi="ar-SA"/>
        </w:rPr>
        <w:t>能和辐射带动作用，提升核心支撑能力，推动城市品质化、功能现代化、业态高端化。（1）优化功能布局。突出地域特色，彰显齐风鲁韵文化底蕴，实施“北融南延、东扩西连”战略，拓展空间，优化布局。以长勺路、凤凰路为主轴线，开展绿化提升行动，着力打造生态自然、简洁大方、品质内涵、活力时尚的“城市风景双轴线”，展示莱芜区良好的对外城市形象。（2）提升功能品质。科学编制、精心实施《莱芜区土地征收成片开发方案》，加快城市有机更新，推动老城区老商圈优化提升改造。全面启动汶源学校片区、西关中心片区等改造任务，加快棚改旧改进度。全面推动垃圾分类以及垃圾减量与消费管理工作，培育“一并两定五体系”分类新模式，大力推广智慧分类系统，加大分类设施密度，建设四分类垃圾投放房4处。改善城区交通，畅通交通“大动脉”，谋划形成“六横七纵一环”城区主要道路网格局，新建吴伯萧纪念馆道路工程，改建井冈山路、凤凰北路，打通鹿鸣北路、鹏泉西大街等断头路，整治维修城市道路平交口1173个、10万平方米，新增公共停车位1000个。（3）强化城市管理。健全城市管理体系，推行“网格化+路长制”，全力提升管理水平。加强智慧城管建设，组建数字化城管指挥中心，探索将人脸识别、12345市民热线等与数字化城管指挥相结合，整合环卫等部门力量，形成闭环式处置模式，全面提升智能化水平。积极开展“城市绣花”行动，实施提升街景、增添绿景、扮靓夜景工程、无障碍环境建设，推动城市环卫、照明市场化运作，亮灯率达到98%以上，擦亮“精致莱芜”靓丽品牌。</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楷体_GB2312" w:hAnsi="楷体_GB2312" w:eastAsia="楷体_GB2312" w:cs="楷体_GB2312"/>
          <w:color w:val="auto"/>
          <w:kern w:val="2"/>
          <w:sz w:val="32"/>
          <w:szCs w:val="32"/>
          <w:lang w:val="en-US" w:eastAsia="zh-CN"/>
        </w:rPr>
        <w:t>（四）加快实现农业农村现代化。</w:t>
      </w:r>
      <w:r>
        <w:rPr>
          <w:rFonts w:hint="eastAsia" w:ascii="仿宋_GB2312" w:hAnsi="仿宋_GB2312" w:eastAsia="仿宋_GB2312" w:cs="仿宋_GB2312"/>
          <w:color w:val="auto"/>
          <w:sz w:val="32"/>
          <w:szCs w:val="32"/>
          <w:lang w:val="en-US" w:eastAsia="zh-CN"/>
        </w:rPr>
        <w:t>以全面推进乡村振兴</w:t>
      </w:r>
      <w:r>
        <w:rPr>
          <w:rFonts w:hint="eastAsia" w:ascii="仿宋_GB2312" w:hAnsi="仿宋" w:eastAsia="仿宋_GB2312" w:cs="仿宋"/>
          <w:color w:val="auto"/>
          <w:sz w:val="32"/>
          <w:szCs w:val="32"/>
          <w:lang w:val="en-US" w:eastAsia="zh-CN"/>
        </w:rPr>
        <w:t>为总抓手，以高质量发展为主题，以农业供给侧结构性改革为主线，以科技创新为引领，以改革开放为动力，统筹发展和安全，加快农业农村现代化。（1）</w:t>
      </w:r>
      <w:r>
        <w:rPr>
          <w:rFonts w:hint="eastAsia" w:ascii="仿宋_GB2312" w:hAnsi="仿宋" w:eastAsia="仿宋_GB2312" w:cs="仿宋"/>
          <w:color w:val="auto"/>
          <w:sz w:val="32"/>
          <w:szCs w:val="32"/>
        </w:rPr>
        <w:t>壮大现代农业产业体系。实施农业龙头企业带动工程</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强化</w:t>
      </w:r>
      <w:r>
        <w:rPr>
          <w:rFonts w:hint="eastAsia" w:ascii="仿宋_GB2312" w:hAnsi="仿宋" w:eastAsia="仿宋_GB2312" w:cs="仿宋"/>
          <w:color w:val="auto"/>
          <w:sz w:val="32"/>
          <w:szCs w:val="32"/>
        </w:rPr>
        <w:t>农业龙头企业发展带动主导产业、农产品加工集聚带动产业增值的理念，</w:t>
      </w:r>
      <w:r>
        <w:rPr>
          <w:rFonts w:hint="eastAsia" w:ascii="仿宋_GB2312" w:hAnsi="仿宋" w:eastAsia="仿宋_GB2312" w:cs="仿宋"/>
          <w:color w:val="auto"/>
          <w:sz w:val="32"/>
          <w:szCs w:val="32"/>
          <w:lang w:val="en-US" w:eastAsia="zh-CN"/>
        </w:rPr>
        <w:t>年内培育</w:t>
      </w:r>
      <w:r>
        <w:rPr>
          <w:rFonts w:hint="eastAsia" w:ascii="仿宋_GB2312" w:hAnsi="仿宋" w:eastAsia="仿宋_GB2312" w:cs="仿宋"/>
          <w:color w:val="auto"/>
          <w:sz w:val="32"/>
          <w:szCs w:val="32"/>
        </w:rPr>
        <w:t>市级以上农业龙头企业2家</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积极培育新型农业经营主体，高标准建设山楂之恋、莲花山茶旅、雪野杏花村、齐鲁燕山、凤城花仙谷等田园综合体项目</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建成田园综合体2个</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强化农业品牌建设，</w:t>
      </w:r>
      <w:r>
        <w:rPr>
          <w:rFonts w:hint="eastAsia" w:ascii="仿宋_GB2312" w:hAnsi="仿宋" w:eastAsia="仿宋_GB2312" w:cs="仿宋"/>
          <w:color w:val="auto"/>
          <w:sz w:val="32"/>
          <w:szCs w:val="32"/>
        </w:rPr>
        <w:t>认证“三品一标”农产品15个</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高标准办好第八届“姜博会”，提高“三辣一麻”全国知名度。（2）</w:t>
      </w:r>
      <w:r>
        <w:rPr>
          <w:rFonts w:hint="eastAsia" w:ascii="仿宋_GB2312" w:hAnsi="仿宋" w:eastAsia="仿宋_GB2312" w:cs="仿宋"/>
          <w:color w:val="auto"/>
          <w:sz w:val="32"/>
          <w:szCs w:val="32"/>
        </w:rPr>
        <w:t>实施现代乡村建设行动</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以建设美丽宜居村庄为导向，加大生态保护与修复力度，全面提升美丽乡村建设水平。完善交通道路设施，完成道路提升、预防养护农村公路260公里；提高农村饮水安全，新建污水处理站6座，完成农村污水治理20个村，治理率达到40%。改善农村面貌，持续推进农村违建整治，加快美丽乡村建设，建成齐鲁样板村10个、美丽乡村示范村5个。（3）巩固拓展脱贫攻坚成果。严格落实“四个不摘”要求，建立“长短结合、标本兼治”的体制机制。保持财政投入力度总体稳定，完善社会力量参与帮扶机制，强化扶贫项目资金监管。建立解决农村相对贫困的长效机制，健全防止返贫检测和帮扶机制，健全农村社会保障和救助制度，确保低收入群体不返贫、稳增收。</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2"/>
          <w:sz w:val="32"/>
          <w:szCs w:val="32"/>
          <w:lang w:val="en-US" w:eastAsia="zh-CN"/>
        </w:rPr>
        <w:t>（五）持续深化重点领域改革。</w:t>
      </w:r>
      <w:r>
        <w:rPr>
          <w:rFonts w:hint="eastAsia" w:ascii="仿宋_GB2312" w:hAnsi="仿宋_GB2312" w:eastAsia="仿宋_GB2312" w:cs="仿宋_GB2312"/>
          <w:color w:val="auto"/>
          <w:sz w:val="32"/>
          <w:szCs w:val="32"/>
        </w:rPr>
        <w:t>加强改革系统集成、高效协同，实现有效市场与有为政府更好结合，营造长期稳定、可预期的制度环境，推进全面深化改革走深走实。</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优化政府职责体系。严格规范市场准入管理，推动“非禁即入”落实落地。完善经济调节、市场监管、社会管理、公共服务、生态环保等职能，全面实行政府权责清单制度。全面开展事业单位改革试点工作，优化事业单位布局结构，完善制度机制，提高治理效能。</w:t>
      </w:r>
      <w:r>
        <w:rPr>
          <w:rFonts w:hint="eastAsia" w:ascii="仿宋_GB2312" w:hAnsi="仿宋_GB2312" w:eastAsia="仿宋_GB2312" w:cs="仿宋_GB2312"/>
          <w:color w:val="auto"/>
          <w:sz w:val="32"/>
          <w:szCs w:val="32"/>
          <w:lang w:val="en-US" w:eastAsia="zh-CN"/>
        </w:rPr>
        <w:t>（2）提高政务服务效能。</w:t>
      </w:r>
      <w:r>
        <w:rPr>
          <w:rFonts w:hint="eastAsia" w:ascii="仿宋_GB2312" w:hAnsi="仿宋_GB2312" w:eastAsia="仿宋_GB2312" w:cs="仿宋_GB2312"/>
          <w:color w:val="auto"/>
          <w:sz w:val="32"/>
          <w:szCs w:val="32"/>
        </w:rPr>
        <w:t>深入推进“放管服”改革，强力推动行政审批服务流程再造，深化“一窗受理”“一网通办”“一链办理”，</w:t>
      </w:r>
      <w:r>
        <w:rPr>
          <w:rFonts w:hint="eastAsia" w:ascii="仿宋_GB2312" w:hAnsi="仿宋_GB2312" w:eastAsia="仿宋_GB2312" w:cs="仿宋_GB2312"/>
          <w:color w:val="auto"/>
          <w:sz w:val="32"/>
          <w:szCs w:val="32"/>
          <w:lang w:val="en-US" w:eastAsia="zh-CN"/>
        </w:rPr>
        <w:t>构建主城区10分钟、镇（街道）20分钟政务服务圈。</w:t>
      </w:r>
      <w:r>
        <w:rPr>
          <w:rFonts w:hint="eastAsia" w:ascii="仿宋_GB2312" w:hAnsi="仿宋_GB2312" w:eastAsia="仿宋_GB2312" w:cs="仿宋_GB2312"/>
          <w:color w:val="auto"/>
          <w:sz w:val="32"/>
          <w:szCs w:val="32"/>
        </w:rPr>
        <w:t>加强政府信息资源规范化、标准化、信息化管理，深化“互联网+政务服务”，推进政府信息公开平台与政务服务平台融合，提高政府信息公开在线办理水平。</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提升企业群众满意度。持续为重点项目提供帮办代办服务</w:t>
      </w:r>
      <w:r>
        <w:rPr>
          <w:rFonts w:hint="eastAsia" w:ascii="仿宋_GB2312" w:hAnsi="仿宋_GB2312" w:eastAsia="仿宋_GB2312" w:cs="仿宋_GB2312"/>
          <w:color w:val="auto"/>
          <w:sz w:val="32"/>
          <w:szCs w:val="32"/>
          <w:lang w:val="en-US" w:eastAsia="zh-CN"/>
        </w:rPr>
        <w:t>，实现重点项目“四证齐发”常态化</w:t>
      </w:r>
      <w:r>
        <w:rPr>
          <w:rFonts w:hint="eastAsia" w:ascii="仿宋_GB2312" w:hAnsi="仿宋_GB2312" w:eastAsia="仿宋_GB2312" w:cs="仿宋_GB2312"/>
          <w:color w:val="auto"/>
          <w:sz w:val="32"/>
          <w:szCs w:val="32"/>
        </w:rPr>
        <w:t>，促进项目快落地快推进快见效；企业开办对标“济南最快”，创造企业开办审批“莱芜加速度”。提升“12345”热线功能和服务水平，构建企业和群众诉求“接诉即办”快速响应机制。</w:t>
      </w:r>
      <w:r>
        <w:rPr>
          <w:rFonts w:hint="eastAsia" w:ascii="仿宋_GB2312" w:hAnsi="仿宋_GB2312" w:eastAsia="仿宋_GB2312" w:cs="仿宋_GB2312"/>
          <w:color w:val="auto"/>
          <w:sz w:val="32"/>
          <w:szCs w:val="32"/>
          <w:lang w:val="en-US" w:eastAsia="zh-CN"/>
        </w:rPr>
        <w:t>加快社会信用体系建设，</w:t>
      </w:r>
      <w:r>
        <w:rPr>
          <w:rFonts w:hint="eastAsia" w:ascii="仿宋_GB2312" w:hAnsi="仿宋_GB2312" w:eastAsia="仿宋_GB2312" w:cs="仿宋_GB2312"/>
          <w:color w:val="auto"/>
          <w:sz w:val="32"/>
          <w:szCs w:val="32"/>
        </w:rPr>
        <w:t>加强重点行业、重点领域信用体系建设</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 w:eastAsia="仿宋_GB2312" w:cs="仿宋"/>
          <w:color w:val="auto"/>
          <w:sz w:val="32"/>
          <w:szCs w:val="32"/>
        </w:rPr>
      </w:pPr>
      <w:r>
        <w:rPr>
          <w:rFonts w:hint="eastAsia" w:ascii="楷体_GB2312" w:hAnsi="楷体_GB2312" w:eastAsia="楷体_GB2312" w:cs="楷体_GB2312"/>
          <w:color w:val="auto"/>
          <w:kern w:val="2"/>
          <w:sz w:val="32"/>
          <w:szCs w:val="32"/>
          <w:lang w:val="en-US" w:eastAsia="zh-CN"/>
        </w:rPr>
        <w:t>（六）持续增进民生福祉。</w:t>
      </w:r>
      <w:r>
        <w:rPr>
          <w:rFonts w:ascii="仿宋_GB2312" w:hAnsi="仿宋" w:eastAsia="仿宋_GB2312" w:cs="仿宋"/>
          <w:color w:val="auto"/>
          <w:sz w:val="32"/>
          <w:szCs w:val="32"/>
        </w:rPr>
        <w:t>始终坚持将改善最广大人民的生活品质作为各项工作的出发点和落脚点，不断满足人民日益增长的多层次、多样化需求，增强人民群众获得感、幸福感、安全感。</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多渠道促进就业。千方百计稳定和扩大就业，建立促进创业带动就业、培育壮大新业态带动就业机制，健全多渠道灵活就业保障制度，推动产业、企业、创业、就业联动，提高就业供给质量</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年内实现新增城镇就业8000人，城镇失业再就业5000人。</w:t>
      </w:r>
      <w:r>
        <w:rPr>
          <w:rFonts w:hint="eastAsia" w:ascii="仿宋_GB2312" w:hAnsi="仿宋" w:eastAsia="仿宋_GB2312" w:cs="仿宋"/>
          <w:color w:val="auto"/>
          <w:sz w:val="32"/>
          <w:szCs w:val="32"/>
        </w:rPr>
        <w:t>促进劳动关系和谐稳定。处理好促进企业发展和维护职工权益的关系</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促进教育优质均衡发展。加大统筹力度，推进优质教育资源向薄弱地区延伸，以集团化、学区化办学扩大优质教育资源覆盖面，缩小区域教育差距，</w:t>
      </w:r>
      <w:r>
        <w:rPr>
          <w:rFonts w:hint="eastAsia" w:ascii="仿宋_GB2312" w:hAnsi="仿宋" w:eastAsia="仿宋_GB2312" w:cs="仿宋"/>
          <w:color w:val="auto"/>
          <w:sz w:val="32"/>
          <w:szCs w:val="32"/>
          <w:lang w:val="en-US" w:eastAsia="zh-CN"/>
        </w:rPr>
        <w:t>不断增加优质教育资源供给，加快城镇中小学教育设施建设，新建改建学校8个，改造学校操场4处，优化提升凤城高中基础设施。（3）</w:t>
      </w:r>
      <w:r>
        <w:rPr>
          <w:rFonts w:hint="eastAsia" w:ascii="仿宋_GB2312" w:hAnsi="仿宋" w:eastAsia="仿宋_GB2312" w:cs="仿宋"/>
          <w:color w:val="auto"/>
          <w:sz w:val="32"/>
          <w:szCs w:val="32"/>
        </w:rPr>
        <w:t>加强公共卫生体系建设。建立稳定的公共卫生投入机制，提高人才队伍建设质量</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完善突发公共卫生事件监测预警处置机制，提升救治能力。推进医联体建设，实施名医名院引进工程，建设羊里、鹏泉等2处区域医疗服务次中心，构建“农村重点疾病30分钟救治圈”。建立健全婴幼儿照护服务工作管理体制和运行机制,推进婴幼儿照护服务健康有序发展。（4）</w:t>
      </w:r>
      <w:r>
        <w:rPr>
          <w:rFonts w:hint="eastAsia" w:ascii="仿宋_GB2312" w:hAnsi="仿宋" w:eastAsia="仿宋_GB2312" w:cs="仿宋"/>
          <w:color w:val="auto"/>
          <w:sz w:val="32"/>
          <w:szCs w:val="32"/>
        </w:rPr>
        <w:t>健全医疗保险体系。实施全民参保计划，完善参保激励政策，提高医疗保险覆盖面。加强基本医疗保险、大病保险与医疗救助协同互补，规范医保个人账户使用范围，强化医保基金监管能力。提高医疗保险经办信息化水平，推广医疗保险“网办、掌办”和医保电子凭证应用，鼓励发展多种类型的商业健康保险，落实长期护理保险政策。</w:t>
      </w:r>
      <w:r>
        <w:rPr>
          <w:rFonts w:hint="eastAsia" w:ascii="仿宋_GB2312" w:hAnsi="仿宋" w:eastAsia="仿宋_GB2312" w:cs="仿宋"/>
          <w:color w:val="auto"/>
          <w:sz w:val="32"/>
          <w:szCs w:val="32"/>
          <w:lang w:val="en-US" w:eastAsia="zh-CN"/>
        </w:rPr>
        <w:t>持续开展爱国卫生运动，预防和减少疾病，保护人民健康。（5）</w:t>
      </w:r>
      <w:r>
        <w:rPr>
          <w:rFonts w:hint="eastAsia" w:ascii="仿宋_GB2312" w:hAnsi="仿宋" w:eastAsia="仿宋_GB2312" w:cs="仿宋"/>
          <w:color w:val="auto"/>
          <w:sz w:val="32"/>
          <w:szCs w:val="32"/>
        </w:rPr>
        <w:t>繁荣发展文化事业。积极用好文化馆、图书馆，举办庆祝建党100周年大型文艺演出，开展送戏下乡和公益电影放映等活动，不断满足群众精神文化需求。</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 w:eastAsia="仿宋_GB2312" w:cs="仿宋"/>
          <w:color w:val="auto"/>
          <w:sz w:val="32"/>
          <w:szCs w:val="32"/>
          <w:lang w:val="en-US" w:eastAsia="zh-CN"/>
        </w:rPr>
      </w:pPr>
      <w:r>
        <w:rPr>
          <w:rFonts w:hint="eastAsia" w:ascii="楷体_GB2312" w:hAnsi="楷体_GB2312" w:eastAsia="楷体_GB2312" w:cs="楷体_GB2312"/>
          <w:color w:val="auto"/>
          <w:sz w:val="32"/>
          <w:szCs w:val="32"/>
          <w:lang w:val="en-US" w:eastAsia="zh-CN"/>
        </w:rPr>
        <w:t>（七）强化安全莱芜建设。</w:t>
      </w:r>
      <w:r>
        <w:rPr>
          <w:rFonts w:hint="eastAsia" w:ascii="仿宋_GB2312" w:hAnsi="仿宋" w:eastAsia="仿宋_GB2312" w:cs="仿宋"/>
          <w:color w:val="auto"/>
          <w:sz w:val="32"/>
          <w:szCs w:val="32"/>
          <w:lang w:val="en-US" w:eastAsia="zh-CN"/>
        </w:rPr>
        <w:t>建立城市安全风险综合管理系统，提升监测预警和主动防控能力。深化安全生产专项整治三年行动，守牢安全生产、粮食安全、消防安全、能源安全、社会稳定等领域底线。</w:t>
      </w:r>
    </w:p>
    <w:p>
      <w:pPr>
        <w:keepNext w:val="0"/>
        <w:keepLines w:val="0"/>
        <w:pageBreakBefore w:val="0"/>
        <w:kinsoku/>
        <w:wordWrap/>
        <w:overflowPunct/>
        <w:topLinePunct w:val="0"/>
        <w:autoSpaceDE/>
        <w:autoSpaceDN/>
        <w:bidi w:val="0"/>
        <w:spacing w:after="0" w:line="600" w:lineRule="exact"/>
        <w:jc w:val="both"/>
        <w:rPr>
          <w:rFonts w:hint="default" w:ascii="仿宋_GB2312" w:hAnsi="仿宋" w:eastAsia="仿宋_GB2312" w:cs="仿宋"/>
          <w:color w:val="auto"/>
          <w:sz w:val="32"/>
          <w:szCs w:val="32"/>
          <w:lang w:val="en-US" w:eastAsia="zh-CN" w:bidi="ar-SA"/>
        </w:rPr>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3050"/>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331A"/>
    <w:rsid w:val="00010B4D"/>
    <w:rsid w:val="00012D76"/>
    <w:rsid w:val="000268FD"/>
    <w:rsid w:val="00026CCC"/>
    <w:rsid w:val="00054708"/>
    <w:rsid w:val="0006091B"/>
    <w:rsid w:val="0006165C"/>
    <w:rsid w:val="00080220"/>
    <w:rsid w:val="00090259"/>
    <w:rsid w:val="000A1A63"/>
    <w:rsid w:val="000D13EC"/>
    <w:rsid w:val="000D50E1"/>
    <w:rsid w:val="000D64B0"/>
    <w:rsid w:val="000E7F9F"/>
    <w:rsid w:val="000F19E4"/>
    <w:rsid w:val="000F4ADE"/>
    <w:rsid w:val="00102DB7"/>
    <w:rsid w:val="0011363D"/>
    <w:rsid w:val="001623EF"/>
    <w:rsid w:val="00177A07"/>
    <w:rsid w:val="001800D2"/>
    <w:rsid w:val="001842F2"/>
    <w:rsid w:val="00193F6F"/>
    <w:rsid w:val="001A2A9C"/>
    <w:rsid w:val="001A3F48"/>
    <w:rsid w:val="001A792E"/>
    <w:rsid w:val="001C59DD"/>
    <w:rsid w:val="002109DB"/>
    <w:rsid w:val="00220775"/>
    <w:rsid w:val="0024023B"/>
    <w:rsid w:val="0024280B"/>
    <w:rsid w:val="00243575"/>
    <w:rsid w:val="00244B68"/>
    <w:rsid w:val="002472BD"/>
    <w:rsid w:val="0028487B"/>
    <w:rsid w:val="002858A6"/>
    <w:rsid w:val="002B48E3"/>
    <w:rsid w:val="002F1CA8"/>
    <w:rsid w:val="002F6291"/>
    <w:rsid w:val="0030257B"/>
    <w:rsid w:val="00303A39"/>
    <w:rsid w:val="00306630"/>
    <w:rsid w:val="00323A26"/>
    <w:rsid w:val="00323B43"/>
    <w:rsid w:val="00327F44"/>
    <w:rsid w:val="003337CD"/>
    <w:rsid w:val="00336186"/>
    <w:rsid w:val="0034135D"/>
    <w:rsid w:val="0035394D"/>
    <w:rsid w:val="00361FC2"/>
    <w:rsid w:val="003666CF"/>
    <w:rsid w:val="0037454C"/>
    <w:rsid w:val="003776AC"/>
    <w:rsid w:val="003864B5"/>
    <w:rsid w:val="003906BB"/>
    <w:rsid w:val="003A0C8A"/>
    <w:rsid w:val="003B0BFE"/>
    <w:rsid w:val="003C02B4"/>
    <w:rsid w:val="003C5AB6"/>
    <w:rsid w:val="003D37D8"/>
    <w:rsid w:val="003F08DB"/>
    <w:rsid w:val="003F78EB"/>
    <w:rsid w:val="00405612"/>
    <w:rsid w:val="00412E46"/>
    <w:rsid w:val="00414EB6"/>
    <w:rsid w:val="00416FD4"/>
    <w:rsid w:val="00417D9E"/>
    <w:rsid w:val="004209A1"/>
    <w:rsid w:val="004229B5"/>
    <w:rsid w:val="00426133"/>
    <w:rsid w:val="004322DA"/>
    <w:rsid w:val="004358AB"/>
    <w:rsid w:val="00440836"/>
    <w:rsid w:val="00441D92"/>
    <w:rsid w:val="004730F0"/>
    <w:rsid w:val="00473354"/>
    <w:rsid w:val="00495B4A"/>
    <w:rsid w:val="00495D15"/>
    <w:rsid w:val="004A0FF5"/>
    <w:rsid w:val="004B3AF3"/>
    <w:rsid w:val="004B3C5A"/>
    <w:rsid w:val="004C0180"/>
    <w:rsid w:val="004E4795"/>
    <w:rsid w:val="00504AC4"/>
    <w:rsid w:val="00514015"/>
    <w:rsid w:val="00535AB9"/>
    <w:rsid w:val="00562CDF"/>
    <w:rsid w:val="00563CE7"/>
    <w:rsid w:val="00565A11"/>
    <w:rsid w:val="00567258"/>
    <w:rsid w:val="00571ADB"/>
    <w:rsid w:val="005726FA"/>
    <w:rsid w:val="00596230"/>
    <w:rsid w:val="005D27CA"/>
    <w:rsid w:val="005D490F"/>
    <w:rsid w:val="005D63DC"/>
    <w:rsid w:val="00607E93"/>
    <w:rsid w:val="00611DD7"/>
    <w:rsid w:val="00622E17"/>
    <w:rsid w:val="006321BC"/>
    <w:rsid w:val="00632BF6"/>
    <w:rsid w:val="00647A4F"/>
    <w:rsid w:val="006546B8"/>
    <w:rsid w:val="00661308"/>
    <w:rsid w:val="00666639"/>
    <w:rsid w:val="00670C75"/>
    <w:rsid w:val="006B6AA7"/>
    <w:rsid w:val="006D566E"/>
    <w:rsid w:val="006E0F4D"/>
    <w:rsid w:val="006F42B5"/>
    <w:rsid w:val="00705F68"/>
    <w:rsid w:val="007112B6"/>
    <w:rsid w:val="0071143D"/>
    <w:rsid w:val="007116DF"/>
    <w:rsid w:val="00723377"/>
    <w:rsid w:val="007308B0"/>
    <w:rsid w:val="00732677"/>
    <w:rsid w:val="007328D3"/>
    <w:rsid w:val="00751F03"/>
    <w:rsid w:val="00752CB1"/>
    <w:rsid w:val="00754C9D"/>
    <w:rsid w:val="00760F64"/>
    <w:rsid w:val="007628C5"/>
    <w:rsid w:val="00771CFC"/>
    <w:rsid w:val="00781ECE"/>
    <w:rsid w:val="00781FB0"/>
    <w:rsid w:val="00790F2D"/>
    <w:rsid w:val="00797E98"/>
    <w:rsid w:val="007B4E84"/>
    <w:rsid w:val="007B783F"/>
    <w:rsid w:val="007C0F68"/>
    <w:rsid w:val="007C22AE"/>
    <w:rsid w:val="007C741C"/>
    <w:rsid w:val="007E2A13"/>
    <w:rsid w:val="007E5CEE"/>
    <w:rsid w:val="007F2F9A"/>
    <w:rsid w:val="007F3179"/>
    <w:rsid w:val="0080468F"/>
    <w:rsid w:val="00805094"/>
    <w:rsid w:val="008061E3"/>
    <w:rsid w:val="008321A3"/>
    <w:rsid w:val="00834C87"/>
    <w:rsid w:val="00835887"/>
    <w:rsid w:val="00835AA4"/>
    <w:rsid w:val="00852741"/>
    <w:rsid w:val="008542A9"/>
    <w:rsid w:val="008563B2"/>
    <w:rsid w:val="0086431A"/>
    <w:rsid w:val="00866A90"/>
    <w:rsid w:val="008B7726"/>
    <w:rsid w:val="008C006F"/>
    <w:rsid w:val="008C5F31"/>
    <w:rsid w:val="008D0E2D"/>
    <w:rsid w:val="008D20C3"/>
    <w:rsid w:val="008F4DB9"/>
    <w:rsid w:val="00915B2F"/>
    <w:rsid w:val="00917C75"/>
    <w:rsid w:val="009A47B8"/>
    <w:rsid w:val="009A4E33"/>
    <w:rsid w:val="009A5971"/>
    <w:rsid w:val="009B2330"/>
    <w:rsid w:val="009E137E"/>
    <w:rsid w:val="009E1A3C"/>
    <w:rsid w:val="009E22E5"/>
    <w:rsid w:val="009E2496"/>
    <w:rsid w:val="00A156D7"/>
    <w:rsid w:val="00A47D5E"/>
    <w:rsid w:val="00A6357E"/>
    <w:rsid w:val="00A70C6D"/>
    <w:rsid w:val="00A7341F"/>
    <w:rsid w:val="00A92CBA"/>
    <w:rsid w:val="00AA0785"/>
    <w:rsid w:val="00AD0EB2"/>
    <w:rsid w:val="00AD4FFD"/>
    <w:rsid w:val="00AE3F88"/>
    <w:rsid w:val="00B168EE"/>
    <w:rsid w:val="00B2668F"/>
    <w:rsid w:val="00B30BF7"/>
    <w:rsid w:val="00B374B3"/>
    <w:rsid w:val="00B4278A"/>
    <w:rsid w:val="00B43801"/>
    <w:rsid w:val="00B44B9E"/>
    <w:rsid w:val="00B64C36"/>
    <w:rsid w:val="00BB7899"/>
    <w:rsid w:val="00BC4E04"/>
    <w:rsid w:val="00BC60AB"/>
    <w:rsid w:val="00BE661D"/>
    <w:rsid w:val="00BF3E12"/>
    <w:rsid w:val="00BF43AF"/>
    <w:rsid w:val="00C024E3"/>
    <w:rsid w:val="00C1678C"/>
    <w:rsid w:val="00C17BBF"/>
    <w:rsid w:val="00C2370D"/>
    <w:rsid w:val="00C44014"/>
    <w:rsid w:val="00C458F5"/>
    <w:rsid w:val="00C54B69"/>
    <w:rsid w:val="00C56F58"/>
    <w:rsid w:val="00C659B8"/>
    <w:rsid w:val="00C65FCB"/>
    <w:rsid w:val="00C6683C"/>
    <w:rsid w:val="00C73920"/>
    <w:rsid w:val="00C95049"/>
    <w:rsid w:val="00C96B0C"/>
    <w:rsid w:val="00CA17FF"/>
    <w:rsid w:val="00CA3F36"/>
    <w:rsid w:val="00CB1AE3"/>
    <w:rsid w:val="00CD3822"/>
    <w:rsid w:val="00CD41CD"/>
    <w:rsid w:val="00CE4FD5"/>
    <w:rsid w:val="00CF0D86"/>
    <w:rsid w:val="00CF2911"/>
    <w:rsid w:val="00CF4DD2"/>
    <w:rsid w:val="00D16710"/>
    <w:rsid w:val="00D27AD7"/>
    <w:rsid w:val="00D31D50"/>
    <w:rsid w:val="00D322BF"/>
    <w:rsid w:val="00D33250"/>
    <w:rsid w:val="00D520F5"/>
    <w:rsid w:val="00D5470C"/>
    <w:rsid w:val="00D7351F"/>
    <w:rsid w:val="00D83126"/>
    <w:rsid w:val="00D84243"/>
    <w:rsid w:val="00D93D23"/>
    <w:rsid w:val="00DA0BE1"/>
    <w:rsid w:val="00DA5196"/>
    <w:rsid w:val="00DB3894"/>
    <w:rsid w:val="00DC3A69"/>
    <w:rsid w:val="00DD4ED3"/>
    <w:rsid w:val="00DF24CA"/>
    <w:rsid w:val="00E26928"/>
    <w:rsid w:val="00E33B12"/>
    <w:rsid w:val="00E40760"/>
    <w:rsid w:val="00E64749"/>
    <w:rsid w:val="00E674E4"/>
    <w:rsid w:val="00E720FD"/>
    <w:rsid w:val="00E734D6"/>
    <w:rsid w:val="00EA1066"/>
    <w:rsid w:val="00EE79DE"/>
    <w:rsid w:val="00EF2B2B"/>
    <w:rsid w:val="00EF61BD"/>
    <w:rsid w:val="00F02234"/>
    <w:rsid w:val="00F15EC2"/>
    <w:rsid w:val="00F172F0"/>
    <w:rsid w:val="00F224B2"/>
    <w:rsid w:val="00F31FCD"/>
    <w:rsid w:val="00F71A96"/>
    <w:rsid w:val="00F9338F"/>
    <w:rsid w:val="00FA2A25"/>
    <w:rsid w:val="00FA6418"/>
    <w:rsid w:val="00FC28E3"/>
    <w:rsid w:val="00FC7A76"/>
    <w:rsid w:val="00FD6260"/>
    <w:rsid w:val="00FD7DD4"/>
    <w:rsid w:val="00FF7A28"/>
    <w:rsid w:val="01491B5D"/>
    <w:rsid w:val="022B5700"/>
    <w:rsid w:val="02307C84"/>
    <w:rsid w:val="029E4919"/>
    <w:rsid w:val="02EF73B2"/>
    <w:rsid w:val="02F86273"/>
    <w:rsid w:val="03D44308"/>
    <w:rsid w:val="03ED21BB"/>
    <w:rsid w:val="04156BC2"/>
    <w:rsid w:val="046F1EA1"/>
    <w:rsid w:val="04F12D28"/>
    <w:rsid w:val="05694BB1"/>
    <w:rsid w:val="09340C33"/>
    <w:rsid w:val="09B84B93"/>
    <w:rsid w:val="09CE3E55"/>
    <w:rsid w:val="0B594E46"/>
    <w:rsid w:val="0D726D91"/>
    <w:rsid w:val="0E5A2942"/>
    <w:rsid w:val="0E6C5EE5"/>
    <w:rsid w:val="0EEF31AA"/>
    <w:rsid w:val="0F8A0C60"/>
    <w:rsid w:val="0F97480B"/>
    <w:rsid w:val="0FC03C25"/>
    <w:rsid w:val="0FCB5856"/>
    <w:rsid w:val="115C738E"/>
    <w:rsid w:val="116D7D4E"/>
    <w:rsid w:val="12760036"/>
    <w:rsid w:val="133F42E8"/>
    <w:rsid w:val="17ED5C5D"/>
    <w:rsid w:val="1864540B"/>
    <w:rsid w:val="1A0F25D4"/>
    <w:rsid w:val="1A1421E1"/>
    <w:rsid w:val="1AA87202"/>
    <w:rsid w:val="1C327233"/>
    <w:rsid w:val="203C3361"/>
    <w:rsid w:val="204E5A2F"/>
    <w:rsid w:val="20537232"/>
    <w:rsid w:val="216F0F00"/>
    <w:rsid w:val="259812C7"/>
    <w:rsid w:val="2B1F2499"/>
    <w:rsid w:val="2B8908AD"/>
    <w:rsid w:val="2D273180"/>
    <w:rsid w:val="2F1F10DA"/>
    <w:rsid w:val="2F356A5E"/>
    <w:rsid w:val="2FAF0EEF"/>
    <w:rsid w:val="316D20D5"/>
    <w:rsid w:val="319E58A6"/>
    <w:rsid w:val="33BF5631"/>
    <w:rsid w:val="33FB1A5D"/>
    <w:rsid w:val="345C2339"/>
    <w:rsid w:val="35B86603"/>
    <w:rsid w:val="368377A6"/>
    <w:rsid w:val="387373F0"/>
    <w:rsid w:val="3AF86A81"/>
    <w:rsid w:val="3B5852F6"/>
    <w:rsid w:val="3B8358D2"/>
    <w:rsid w:val="3BAB0BB2"/>
    <w:rsid w:val="3FDA0560"/>
    <w:rsid w:val="401A5E8A"/>
    <w:rsid w:val="409C44BA"/>
    <w:rsid w:val="40C80BB1"/>
    <w:rsid w:val="448A0BA8"/>
    <w:rsid w:val="44BA6564"/>
    <w:rsid w:val="45702AC9"/>
    <w:rsid w:val="45C837D2"/>
    <w:rsid w:val="45E374BB"/>
    <w:rsid w:val="4980553C"/>
    <w:rsid w:val="4EB6296D"/>
    <w:rsid w:val="4EDD6DA5"/>
    <w:rsid w:val="4F31636E"/>
    <w:rsid w:val="50865808"/>
    <w:rsid w:val="517E1FFC"/>
    <w:rsid w:val="53911675"/>
    <w:rsid w:val="551D6E38"/>
    <w:rsid w:val="552938B0"/>
    <w:rsid w:val="57E36C81"/>
    <w:rsid w:val="5A9F7574"/>
    <w:rsid w:val="5AFF7FE7"/>
    <w:rsid w:val="5BA653C8"/>
    <w:rsid w:val="5C9520A1"/>
    <w:rsid w:val="5DFC008E"/>
    <w:rsid w:val="604E61AF"/>
    <w:rsid w:val="62102FE1"/>
    <w:rsid w:val="6271482E"/>
    <w:rsid w:val="6438398B"/>
    <w:rsid w:val="64892E36"/>
    <w:rsid w:val="64AB3DFA"/>
    <w:rsid w:val="66860A42"/>
    <w:rsid w:val="669165D8"/>
    <w:rsid w:val="66EC4514"/>
    <w:rsid w:val="676654C8"/>
    <w:rsid w:val="69141A06"/>
    <w:rsid w:val="69C84DFD"/>
    <w:rsid w:val="6A521D5B"/>
    <w:rsid w:val="6C336D57"/>
    <w:rsid w:val="6CF81F1F"/>
    <w:rsid w:val="6DEE5FA3"/>
    <w:rsid w:val="6EF4029D"/>
    <w:rsid w:val="6F141671"/>
    <w:rsid w:val="70525916"/>
    <w:rsid w:val="71976788"/>
    <w:rsid w:val="71D7666E"/>
    <w:rsid w:val="72E72F5D"/>
    <w:rsid w:val="735661E2"/>
    <w:rsid w:val="742369D9"/>
    <w:rsid w:val="78A9621D"/>
    <w:rsid w:val="7BE01AE3"/>
    <w:rsid w:val="7CE51117"/>
    <w:rsid w:val="7D7D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link w:val="24"/>
    <w:qFormat/>
    <w:uiPriority w:val="9"/>
    <w:pPr>
      <w:keepNext/>
      <w:keepLines/>
      <w:spacing w:after="0" w:line="360" w:lineRule="auto"/>
      <w:ind w:firstLine="643" w:firstLineChars="200"/>
      <w:outlineLvl w:val="0"/>
    </w:pPr>
    <w:rPr>
      <w:rFonts w:ascii="黑体" w:hAnsi="黑体" w:eastAsia="黑体"/>
      <w:b/>
      <w:bCs/>
      <w:kern w:val="44"/>
      <w:sz w:val="32"/>
      <w:szCs w:val="32"/>
      <w:shd w:val="clear" w:color="auto" w:fill="FFFFFF"/>
    </w:rPr>
  </w:style>
  <w:style w:type="paragraph" w:styleId="5">
    <w:name w:val="heading 2"/>
    <w:basedOn w:val="1"/>
    <w:next w:val="1"/>
    <w:link w:val="23"/>
    <w:unhideWhenUsed/>
    <w:qFormat/>
    <w:uiPriority w:val="9"/>
    <w:pPr>
      <w:shd w:val="clear" w:color="auto" w:fill="FFFFFF"/>
      <w:spacing w:before="0" w:beforeAutospacing="0" w:after="0" w:afterAutospacing="0" w:line="270" w:lineRule="atLeast"/>
      <w:ind w:firstLine="480"/>
      <w:outlineLvl w:val="1"/>
    </w:pPr>
    <w:rPr>
      <w:rFonts w:ascii="楷体" w:hAnsi="楷体" w:eastAsia="楷体_GB2312"/>
      <w:color w:val="333333"/>
      <w:sz w:val="32"/>
      <w:szCs w:val="32"/>
    </w:rPr>
  </w:style>
  <w:style w:type="paragraph" w:styleId="6">
    <w:name w:val="heading 3"/>
    <w:basedOn w:val="1"/>
    <w:next w:val="1"/>
    <w:link w:val="27"/>
    <w:unhideWhenUsed/>
    <w:qFormat/>
    <w:uiPriority w:val="9"/>
    <w:pPr>
      <w:keepNext/>
      <w:keepLines/>
      <w:spacing w:after="0" w:line="360" w:lineRule="auto"/>
      <w:ind w:firstLine="640" w:firstLineChars="200"/>
      <w:outlineLvl w:val="2"/>
    </w:pPr>
    <w:rPr>
      <w:rFonts w:ascii="仿宋_GB2312" w:eastAsia="仿宋_GB2312"/>
      <w:bCs/>
      <w:sz w:val="32"/>
      <w:szCs w:val="32"/>
    </w:rPr>
  </w:style>
  <w:style w:type="paragraph" w:styleId="7">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Date"/>
    <w:basedOn w:val="1"/>
    <w:next w:val="1"/>
    <w:qFormat/>
    <w:uiPriority w:val="0"/>
  </w:style>
  <w:style w:type="paragraph" w:styleId="8">
    <w:name w:val="Document Map"/>
    <w:basedOn w:val="1"/>
    <w:link w:val="25"/>
    <w:semiHidden/>
    <w:unhideWhenUsed/>
    <w:qFormat/>
    <w:uiPriority w:val="99"/>
    <w:rPr>
      <w:rFonts w:ascii="宋体" w:eastAsia="宋体"/>
      <w:sz w:val="18"/>
      <w:szCs w:val="18"/>
    </w:rPr>
  </w:style>
  <w:style w:type="paragraph" w:styleId="9">
    <w:name w:val="Body Text Indent"/>
    <w:basedOn w:val="1"/>
    <w:qFormat/>
    <w:uiPriority w:val="0"/>
    <w:pPr>
      <w:spacing w:after="120"/>
      <w:ind w:left="420" w:leftChars="200"/>
    </w:pPr>
  </w:style>
  <w:style w:type="paragraph" w:styleId="10">
    <w:name w:val="toc 3"/>
    <w:basedOn w:val="1"/>
    <w:next w:val="1"/>
    <w:unhideWhenUsed/>
    <w:qFormat/>
    <w:uiPriority w:val="39"/>
    <w:pPr>
      <w:ind w:left="840" w:leftChars="400"/>
    </w:pPr>
  </w:style>
  <w:style w:type="paragraph" w:styleId="11">
    <w:name w:val="Balloon Text"/>
    <w:basedOn w:val="1"/>
    <w:link w:val="34"/>
    <w:semiHidden/>
    <w:unhideWhenUsed/>
    <w:qFormat/>
    <w:uiPriority w:val="99"/>
    <w:pPr>
      <w:spacing w:after="0"/>
    </w:pPr>
    <w:rPr>
      <w:sz w:val="18"/>
      <w:szCs w:val="18"/>
    </w:rPr>
  </w:style>
  <w:style w:type="paragraph" w:styleId="12">
    <w:name w:val="footer"/>
    <w:basedOn w:val="1"/>
    <w:link w:val="32"/>
    <w:unhideWhenUsed/>
    <w:qFormat/>
    <w:uiPriority w:val="99"/>
    <w:pPr>
      <w:tabs>
        <w:tab w:val="center" w:pos="4153"/>
        <w:tab w:val="right" w:pos="8306"/>
      </w:tabs>
    </w:pPr>
    <w:rPr>
      <w:sz w:val="18"/>
      <w:szCs w:val="18"/>
    </w:rPr>
  </w:style>
  <w:style w:type="paragraph" w:styleId="13">
    <w:name w:val="header"/>
    <w:basedOn w:val="1"/>
    <w:link w:val="31"/>
    <w:semiHidden/>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7">
    <w:name w:val="Body Text First Indent 2"/>
    <w:basedOn w:val="9"/>
    <w:qFormat/>
    <w:uiPriority w:val="0"/>
    <w:pPr>
      <w:ind w:firstLine="420" w:firstLineChars="200"/>
    </w:pPr>
  </w:style>
  <w:style w:type="character" w:styleId="20">
    <w:name w:val="Strong"/>
    <w:basedOn w:val="19"/>
    <w:qFormat/>
    <w:uiPriority w:val="22"/>
    <w:rPr>
      <w:b/>
      <w:bCs/>
    </w:rPr>
  </w:style>
  <w:style w:type="character" w:styleId="21">
    <w:name w:val="Emphasis"/>
    <w:basedOn w:val="19"/>
    <w:qFormat/>
    <w:uiPriority w:val="20"/>
    <w:rPr>
      <w:i/>
    </w:rPr>
  </w:style>
  <w:style w:type="character" w:styleId="22">
    <w:name w:val="Hyperlink"/>
    <w:basedOn w:val="19"/>
    <w:unhideWhenUsed/>
    <w:qFormat/>
    <w:uiPriority w:val="99"/>
    <w:rPr>
      <w:color w:val="0000FF" w:themeColor="hyperlink"/>
      <w:u w:val="single"/>
    </w:rPr>
  </w:style>
  <w:style w:type="character" w:customStyle="1" w:styleId="23">
    <w:name w:val="标题 2 Char"/>
    <w:basedOn w:val="19"/>
    <w:link w:val="5"/>
    <w:qFormat/>
    <w:uiPriority w:val="9"/>
    <w:rPr>
      <w:rFonts w:ascii="楷体" w:hAnsi="楷体" w:eastAsia="楷体_GB2312" w:cs="宋体"/>
      <w:color w:val="333333"/>
      <w:sz w:val="32"/>
      <w:szCs w:val="32"/>
      <w:shd w:val="clear" w:color="auto" w:fill="FFFFFF"/>
    </w:rPr>
  </w:style>
  <w:style w:type="character" w:customStyle="1" w:styleId="24">
    <w:name w:val="标题 1 Char"/>
    <w:basedOn w:val="19"/>
    <w:link w:val="4"/>
    <w:qFormat/>
    <w:uiPriority w:val="9"/>
    <w:rPr>
      <w:rFonts w:ascii="黑体" w:hAnsi="黑体" w:eastAsia="黑体"/>
      <w:b/>
      <w:bCs/>
      <w:kern w:val="44"/>
      <w:sz w:val="32"/>
      <w:szCs w:val="32"/>
    </w:rPr>
  </w:style>
  <w:style w:type="character" w:customStyle="1" w:styleId="25">
    <w:name w:val="文档结构图 Char"/>
    <w:basedOn w:val="19"/>
    <w:link w:val="8"/>
    <w:semiHidden/>
    <w:qFormat/>
    <w:uiPriority w:val="99"/>
    <w:rPr>
      <w:rFonts w:ascii="宋体" w:hAnsi="Tahoma" w:eastAsia="宋体"/>
      <w:sz w:val="18"/>
      <w:szCs w:val="18"/>
    </w:rPr>
  </w:style>
  <w:style w:type="paragraph" w:customStyle="1" w:styleId="26">
    <w:name w:val="0＃ガ在大写"/>
    <w:basedOn w:val="1"/>
    <w:qFormat/>
    <w:uiPriority w:val="0"/>
    <w:pPr>
      <w:widowControl w:val="0"/>
      <w:adjustRightInd/>
      <w:snapToGrid/>
      <w:spacing w:after="0" w:line="360" w:lineRule="exact"/>
      <w:jc w:val="both"/>
    </w:pPr>
    <w:rPr>
      <w:rFonts w:ascii="宋体" w:hAnsi="Courier New" w:eastAsiaTheme="minorEastAsia"/>
      <w:kern w:val="2"/>
      <w:sz w:val="21"/>
      <w:szCs w:val="20"/>
    </w:rPr>
  </w:style>
  <w:style w:type="character" w:customStyle="1" w:styleId="27">
    <w:name w:val="标题 3 Char"/>
    <w:basedOn w:val="19"/>
    <w:link w:val="6"/>
    <w:qFormat/>
    <w:uiPriority w:val="9"/>
    <w:rPr>
      <w:rFonts w:ascii="仿宋_GB2312" w:hAnsi="Tahoma" w:eastAsia="仿宋_GB2312"/>
      <w:bCs/>
      <w:sz w:val="32"/>
      <w:szCs w:val="32"/>
    </w:rPr>
  </w:style>
  <w:style w:type="character" w:customStyle="1" w:styleId="28">
    <w:name w:val="标题 4 Char"/>
    <w:basedOn w:val="19"/>
    <w:link w:val="7"/>
    <w:qFormat/>
    <w:uiPriority w:val="9"/>
    <w:rPr>
      <w:rFonts w:asciiTheme="majorHAnsi" w:hAnsiTheme="majorHAnsi" w:eastAsiaTheme="majorEastAsia" w:cstheme="majorBidi"/>
      <w:b/>
      <w:bCs/>
      <w:sz w:val="28"/>
      <w:szCs w:val="28"/>
    </w:rPr>
  </w:style>
  <w:style w:type="paragraph" w:styleId="29">
    <w:name w:val="No Spacing"/>
    <w:qFormat/>
    <w:uiPriority w:val="1"/>
    <w:pPr>
      <w:adjustRightInd w:val="0"/>
      <w:snapToGrid w:val="0"/>
    </w:pPr>
    <w:rPr>
      <w:rFonts w:ascii="Tahoma" w:hAnsi="Tahoma" w:eastAsia="微软雅黑" w:cstheme="minorBidi"/>
      <w:sz w:val="22"/>
      <w:szCs w:val="22"/>
      <w:lang w:val="en-US" w:eastAsia="zh-CN" w:bidi="ar-SA"/>
    </w:rPr>
  </w:style>
  <w:style w:type="paragraph" w:customStyle="1" w:styleId="30">
    <w:name w:val="1 Char"/>
    <w:basedOn w:val="1"/>
    <w:qFormat/>
    <w:uiPriority w:val="0"/>
    <w:pPr>
      <w:widowControl w:val="0"/>
      <w:adjustRightInd/>
      <w:snapToGrid/>
      <w:spacing w:after="0"/>
      <w:jc w:val="both"/>
    </w:pPr>
    <w:rPr>
      <w:rFonts w:eastAsia="宋体" w:cs="Times New Roman"/>
      <w:kern w:val="2"/>
      <w:sz w:val="24"/>
      <w:szCs w:val="20"/>
    </w:rPr>
  </w:style>
  <w:style w:type="character" w:customStyle="1" w:styleId="31">
    <w:name w:val="页眉 Char"/>
    <w:basedOn w:val="19"/>
    <w:link w:val="13"/>
    <w:semiHidden/>
    <w:qFormat/>
    <w:uiPriority w:val="99"/>
    <w:rPr>
      <w:rFonts w:ascii="Tahoma" w:hAnsi="Tahoma"/>
      <w:sz w:val="18"/>
      <w:szCs w:val="18"/>
    </w:rPr>
  </w:style>
  <w:style w:type="character" w:customStyle="1" w:styleId="32">
    <w:name w:val="页脚 Char"/>
    <w:basedOn w:val="19"/>
    <w:link w:val="12"/>
    <w:qFormat/>
    <w:uiPriority w:val="99"/>
    <w:rPr>
      <w:rFonts w:ascii="Tahoma" w:hAnsi="Tahoma"/>
      <w:sz w:val="18"/>
      <w:szCs w:val="18"/>
    </w:rPr>
  </w:style>
  <w:style w:type="paragraph" w:customStyle="1" w:styleId="33">
    <w:name w:val="BodyText"/>
    <w:basedOn w:val="1"/>
    <w:qFormat/>
    <w:uiPriority w:val="0"/>
    <w:rPr>
      <w:rFonts w:ascii="Times New Roman" w:hAnsi="Times New Roman" w:eastAsia="宋体" w:cs="Times New Roman"/>
      <w:sz w:val="30"/>
    </w:rPr>
  </w:style>
  <w:style w:type="character" w:customStyle="1" w:styleId="34">
    <w:name w:val="批注框文本 Char"/>
    <w:basedOn w:val="19"/>
    <w:link w:val="11"/>
    <w:semiHidden/>
    <w:qFormat/>
    <w:uiPriority w:val="99"/>
    <w:rPr>
      <w:rFonts w:ascii="Tahoma" w:hAnsi="Tahoma"/>
      <w:sz w:val="18"/>
      <w:szCs w:val="18"/>
    </w:rPr>
  </w:style>
  <w:style w:type="paragraph" w:customStyle="1" w:styleId="35">
    <w:name w:val="List Paragraph1"/>
    <w:basedOn w:val="1"/>
    <w:qFormat/>
    <w:uiPriority w:val="0"/>
    <w:pPr>
      <w:ind w:firstLine="420" w:firstLineChars="200"/>
    </w:pPr>
  </w:style>
  <w:style w:type="paragraph" w:customStyle="1" w:styleId="36">
    <w:name w:val="BodyText1I2"/>
    <w:basedOn w:val="1"/>
    <w:qFormat/>
    <w:uiPriority w:val="0"/>
    <w:pPr>
      <w:spacing w:line="560" w:lineRule="exact"/>
      <w:ind w:firstLine="420" w:firstLineChars="200"/>
      <w:textAlignment w:val="baseline"/>
    </w:pPr>
    <w:rPr>
      <w:rFonts w:ascii="Times New Roman" w:hAnsi="Times New Roman" w:eastAsia="宋体" w:cs="Times New Roman"/>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8CB74-7755-44D0-822E-448686DAA401}">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7548</Words>
  <Characters>7845</Characters>
  <Lines>63</Lines>
  <Paragraphs>17</Paragraphs>
  <TotalTime>179</TotalTime>
  <ScaleCrop>false</ScaleCrop>
  <LinksUpToDate>false</LinksUpToDate>
  <CharactersWithSpaces>7856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2021-01-10T07:00:00Z</dcterms:created>
  <dc:creator>Administrator</dc:creator>
  <cp:lastModifiedBy>清一宁一</cp:lastModifiedBy>
  <cp:lastPrinted>2021-05-21T02:00:00Z</cp:lastPrinted>
  <dcterms:modified xsi:type="dcterms:W3CDTF">2021-11-03T08:15:12Z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2D05E6B734B54B86A144F8F0E0A1349D</vt:lpwstr>
  </property>
</Properties>
</file>