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加强医疗卫生行风建设 九不准</w:t>
      </w:r>
      <w:r>
        <w:rPr>
          <w:rFonts w:hint="eastAsia"/>
          <w:sz w:val="24"/>
          <w:szCs w:val="32"/>
        </w:rPr>
        <w:t xml:space="preserve"> 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不准将医疗卫生人员个人收入与药品和医学检查收入挂钩；</w:t>
      </w:r>
    </w:p>
    <w:p>
      <w:pPr>
        <w:numPr>
          <w:ilvl w:val="0"/>
          <w:numId w:val="0"/>
        </w:numPr>
        <w:jc w:val="both"/>
        <w:rPr>
          <w:sz w:val="36"/>
          <w:szCs w:val="44"/>
        </w:rPr>
      </w:pPr>
      <w:r>
        <w:rPr>
          <w:rFonts w:hint="eastAsia"/>
          <w:sz w:val="36"/>
          <w:szCs w:val="44"/>
        </w:rPr>
        <w:t>二、不准开单提成；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三、不准违规收费；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四、不准违规接受社会捐赠资助；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五、不准参与推销活动和违规发布医疗广告；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六、不准为商业目的统方；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七、不准违规私自采购使用医药产品；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八、不准收受回扣；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九、不准收受患者“红包”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</w:p>
    <w:p>
      <w:pPr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lang w:val="en-US" w:eastAsia="zh-CN"/>
        </w:rPr>
        <w:t>济南市莱芜区鹏泉街道社区卫生服务中心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</w:rPr>
      </w:pPr>
    </w:p>
    <w:sectPr>
      <w:footerReference r:id="rId3" w:type="default"/>
      <w:pgSz w:w="11906" w:h="16838"/>
      <w:pgMar w:top="1440" w:right="1584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3420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439FD"/>
    <w:multiLevelType w:val="singleLevel"/>
    <w:tmpl w:val="DF243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WQzMGJlMGI4Nzk2YjAzMDhiM2RkZDJlYmMyMzEifQ=="/>
  </w:docVars>
  <w:rsids>
    <w:rsidRoot w:val="6D030EE6"/>
    <w:rsid w:val="02F76FB4"/>
    <w:rsid w:val="1D641885"/>
    <w:rsid w:val="27133CE4"/>
    <w:rsid w:val="37CB1876"/>
    <w:rsid w:val="442711FD"/>
    <w:rsid w:val="6D0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534</Characters>
  <Lines>0</Lines>
  <Paragraphs>0</Paragraphs>
  <TotalTime>9</TotalTime>
  <ScaleCrop>false</ScaleCrop>
  <LinksUpToDate>false</LinksUpToDate>
  <CharactersWithSpaces>648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2023-05-24T00:52:00Z</dcterms:created>
  <dc:creator>ad</dc:creator>
  <cp:lastModifiedBy>夏晓悠</cp:lastModifiedBy>
  <cp:lastPrinted>2023-07-26T07:20:00Z</cp:lastPrinted>
  <dcterms:modified xsi:type="dcterms:W3CDTF">2023-12-27T00:14:14Z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387359F693934A14976EE31116B2B868_13</vt:lpwstr>
  </property>
</Properties>
</file>