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426" w:line="219" w:lineRule="auto"/>
        <w:jc w:val="center"/>
        <w:rPr>
          <w:rFonts w:ascii="Arial"/>
          <w:sz w:val="21"/>
        </w:rPr>
      </w:pPr>
      <w:r>
        <w:rPr>
          <w:rFonts w:hint="eastAsia" w:ascii="方正小标宋简体" w:hAnsi="方正小标宋简体" w:eastAsia="方正小标宋简体" w:cs="方正小标宋简体"/>
          <w:b w:val="0"/>
          <w:bCs w:val="0"/>
          <w:color w:val="EE0007"/>
          <w:spacing w:val="0"/>
          <w:w w:val="47"/>
          <w:sz w:val="112"/>
          <w:szCs w:val="112"/>
        </w:rPr>
        <w:t>济南市莱芜区人民政府办公室</w:t>
      </w:r>
    </w:p>
    <w:p>
      <w:pPr>
        <w:spacing w:line="268" w:lineRule="auto"/>
        <w:rPr>
          <w:rFonts w:ascii="Arial"/>
          <w:sz w:val="21"/>
        </w:rPr>
      </w:pPr>
    </w:p>
    <w:p>
      <w:pPr>
        <w:spacing w:line="268" w:lineRule="auto"/>
        <w:rPr>
          <w:rFonts w:ascii="Arial"/>
          <w:sz w:val="21"/>
        </w:rPr>
      </w:pPr>
    </w:p>
    <w:p>
      <w:pPr>
        <w:spacing w:before="101" w:line="223" w:lineRule="auto"/>
        <w:ind w:left="2590"/>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莱芜政办字〔2023〕3号</w:t>
      </w:r>
    </w:p>
    <w:p>
      <w:pPr>
        <w:spacing w:before="124" w:line="30" w:lineRule="exact"/>
        <w:textAlignment w:val="center"/>
      </w:pPr>
      <w:r>
        <w:rPr>
          <w:sz w:val="21"/>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55880</wp:posOffset>
                </wp:positionV>
                <wp:extent cx="5631180" cy="0"/>
                <wp:effectExtent l="0" t="9525" r="7620" b="13335"/>
                <wp:wrapNone/>
                <wp:docPr id="2" name="直接连接符 2"/>
                <wp:cNvGraphicFramePr/>
                <a:graphic xmlns:a="http://schemas.openxmlformats.org/drawingml/2006/main">
                  <a:graphicData uri="http://schemas.microsoft.com/office/word/2010/wordprocessingShape">
                    <wps:wsp>
                      <wps:cNvCnPr/>
                      <wps:spPr>
                        <a:xfrm>
                          <a:off x="1016000" y="4407535"/>
                          <a:ext cx="563118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pt;margin-top:4.4pt;height:0pt;width:443.4pt;z-index:251658240;mso-width-relative:page;mso-height-relative:page;" filled="f" stroked="t" coordsize="21600,21600" o:gfxdata="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3iIldQAAAAFAQAADwAAAAAAAAABACAAAAAiAAAAZHJzL2Rv&#10;d25yZXYueG1sUEsBAhQAFAAAAAgAh07iQNt/YZ7MAQAAWQMAAA4AAAAAAAAAAQAgAAAAIwEAAGRy&#10;cy9lMm9Eb2MueG1sUEsFBgAAAAAGAAYAWQEAAGEFAAAAAA==&#10;">
                <v:fill on="f" focussize="0,0"/>
                <v:stroke weight="1.5pt" color="#FF0000 [3204]" joinstyle="round"/>
                <v:imagedata o:title=""/>
                <o:lock v:ext="edit" aspectratio="f"/>
              </v:line>
            </w:pict>
          </mc:Fallback>
        </mc:AlternateContent>
      </w: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30" w:line="560" w:lineRule="exact"/>
        <w:jc w:val="center"/>
        <w:textAlignment w:val="baseline"/>
        <w:rPr>
          <w:rFonts w:hint="eastAsia" w:ascii="方正小标宋简体" w:hAnsi="方正小标宋简体" w:eastAsia="方正小标宋简体" w:cs="方正小标宋简体"/>
          <w:b w:val="0"/>
          <w:bCs w:val="0"/>
          <w:spacing w:val="12"/>
          <w:sz w:val="44"/>
          <w:szCs w:val="44"/>
        </w:rPr>
      </w:pPr>
      <w:r>
        <w:rPr>
          <w:rFonts w:hint="eastAsia" w:ascii="方正小标宋简体" w:hAnsi="方正小标宋简体" w:eastAsia="方正小标宋简体" w:cs="方正小标宋简体"/>
          <w:b w:val="0"/>
          <w:bCs w:val="0"/>
          <w:spacing w:val="12"/>
          <w:sz w:val="44"/>
          <w:szCs w:val="44"/>
        </w:rPr>
        <w:t>济南市莱芜区人民政府办公室</w:t>
      </w:r>
    </w:p>
    <w:p>
      <w:pPr>
        <w:keepNext w:val="0"/>
        <w:keepLines w:val="0"/>
        <w:pageBreakBefore w:val="0"/>
        <w:widowControl/>
        <w:kinsoku w:val="0"/>
        <w:wordWrap/>
        <w:overflowPunct/>
        <w:topLinePunct w:val="0"/>
        <w:autoSpaceDE w:val="0"/>
        <w:autoSpaceDN w:val="0"/>
        <w:bidi w:val="0"/>
        <w:adjustRightInd w:val="0"/>
        <w:snapToGrid w:val="0"/>
        <w:spacing w:before="130" w:line="560" w:lineRule="exact"/>
        <w:jc w:val="center"/>
        <w:textAlignment w:val="baseline"/>
        <w:rPr>
          <w:rFonts w:ascii="Arial"/>
          <w:b w:val="0"/>
          <w:bCs w:val="0"/>
          <w:sz w:val="44"/>
          <w:szCs w:val="44"/>
        </w:rPr>
      </w:pPr>
      <w:r>
        <w:rPr>
          <w:rFonts w:hint="eastAsia" w:ascii="方正小标宋简体" w:hAnsi="方正小标宋简体" w:eastAsia="方正小标宋简体" w:cs="方正小标宋简体"/>
          <w:b w:val="0"/>
          <w:bCs w:val="0"/>
          <w:spacing w:val="0"/>
          <w:sz w:val="44"/>
          <w:szCs w:val="44"/>
        </w:rPr>
        <w:t>关于印发莱芜区突发地质灾害应急预案的通知</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textAlignment w:val="baseline"/>
        <w:rPr>
          <w:rFonts w:hint="eastAsia" w:ascii="仿宋_GB2312" w:hAnsi="仿宋_GB2312" w:eastAsia="仿宋_GB2312" w:cs="仿宋_GB2312"/>
          <w:snapToGrid/>
          <w:spacing w:val="20"/>
          <w:kern w:val="2"/>
          <w:sz w:val="32"/>
          <w:szCs w:val="32"/>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101" w:line="560" w:lineRule="exact"/>
        <w:textAlignment w:val="baseline"/>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spacing w:val="20"/>
          <w:kern w:val="2"/>
          <w:sz w:val="32"/>
          <w:szCs w:val="32"/>
          <w:highlight w:val="none"/>
          <w:lang w:val="en-US" w:eastAsia="zh-CN" w:bidi="ar-SA"/>
        </w:rPr>
        <w:t>各功能区管委会，各街道(镇)办事处(人民政府),区政府各</w:t>
      </w:r>
      <w:r>
        <w:rPr>
          <w:rFonts w:hint="eastAsia" w:ascii="仿宋_GB2312" w:hAnsi="仿宋_GB2312" w:eastAsia="仿宋_GB2312" w:cs="仿宋_GB2312"/>
          <w:snapToGrid/>
          <w:kern w:val="2"/>
          <w:sz w:val="32"/>
          <w:szCs w:val="32"/>
          <w:highlight w:val="none"/>
          <w:lang w:val="en-US" w:eastAsia="zh-CN" w:bidi="ar-SA"/>
        </w:rPr>
        <w:t>部门，区直各企事业单位：</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584" w:firstLineChars="200"/>
        <w:textAlignment w:val="baseline"/>
        <w:rPr>
          <w:rFonts w:hint="eastAsia" w:ascii="仿宋_GB2312" w:hAnsi="仿宋_GB2312" w:eastAsia="仿宋_GB2312" w:cs="仿宋_GB2312"/>
          <w:snapToGrid/>
          <w:spacing w:val="-14"/>
          <w:kern w:val="2"/>
          <w:sz w:val="32"/>
          <w:szCs w:val="32"/>
          <w:highlight w:val="none"/>
          <w:lang w:val="en-US" w:eastAsia="zh-CN" w:bidi="ar-SA"/>
        </w:rPr>
      </w:pPr>
      <w:r>
        <w:rPr>
          <w:rFonts w:hint="eastAsia" w:ascii="仿宋_GB2312" w:hAnsi="仿宋_GB2312" w:eastAsia="仿宋_GB2312" w:cs="仿宋_GB2312"/>
          <w:snapToGrid/>
          <w:spacing w:val="-14"/>
          <w:kern w:val="2"/>
          <w:sz w:val="32"/>
          <w:szCs w:val="32"/>
          <w:highlight w:val="none"/>
          <w:lang w:val="en-US" w:eastAsia="zh-CN" w:bidi="ar-SA"/>
        </w:rPr>
        <w:t>《莱芜区突发地质灾害应急预案》已经区政府研究同意，现印发给你们，请认真组织实施。</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360" w:firstLineChars="100"/>
        <w:textAlignment w:val="baseline"/>
        <w:rPr>
          <w:rFonts w:hint="eastAsia" w:ascii="仿宋_GB2312" w:hAnsi="仿宋_GB2312" w:eastAsia="仿宋_GB2312" w:cs="仿宋_GB2312"/>
          <w:snapToGrid/>
          <w:spacing w:val="20"/>
          <w:kern w:val="2"/>
          <w:sz w:val="32"/>
          <w:szCs w:val="32"/>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3600" w:firstLineChars="1000"/>
        <w:textAlignment w:val="baseline"/>
        <w:rPr>
          <w:rFonts w:hint="eastAsia" w:ascii="仿宋_GB2312" w:hAnsi="仿宋_GB2312" w:eastAsia="仿宋_GB2312" w:cs="仿宋_GB2312"/>
          <w:snapToGrid/>
          <w:spacing w:val="20"/>
          <w:kern w:val="2"/>
          <w:sz w:val="32"/>
          <w:szCs w:val="32"/>
          <w:highlight w:val="none"/>
          <w:lang w:val="en-US" w:eastAsia="zh-CN" w:bidi="ar-SA"/>
        </w:rPr>
      </w:pPr>
      <w:r>
        <w:rPr>
          <w:rFonts w:hint="eastAsia" w:ascii="仿宋_GB2312" w:hAnsi="仿宋_GB2312" w:eastAsia="仿宋_GB2312" w:cs="仿宋_GB2312"/>
          <w:snapToGrid/>
          <w:spacing w:val="20"/>
          <w:kern w:val="2"/>
          <w:sz w:val="32"/>
          <w:szCs w:val="32"/>
          <w:highlight w:val="none"/>
          <w:lang w:val="en-US" w:eastAsia="zh-CN" w:bidi="ar-SA"/>
        </w:rPr>
        <w:t>济南市莱芜区人民政府办公室</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4680" w:firstLineChars="1300"/>
        <w:textAlignment w:val="baseline"/>
        <w:rPr>
          <w:rFonts w:ascii="仿宋" w:hAnsi="仿宋" w:eastAsia="仿宋" w:cs="仿宋"/>
          <w:sz w:val="31"/>
          <w:szCs w:val="31"/>
        </w:rPr>
      </w:pPr>
      <w:r>
        <w:rPr>
          <w:rFonts w:hint="eastAsia" w:ascii="仿宋_GB2312" w:hAnsi="仿宋_GB2312" w:eastAsia="仿宋_GB2312" w:cs="仿宋_GB2312"/>
          <w:snapToGrid/>
          <w:spacing w:val="20"/>
          <w:kern w:val="2"/>
          <w:sz w:val="32"/>
          <w:szCs w:val="32"/>
          <w:highlight w:val="none"/>
          <w:lang w:val="en-US" w:eastAsia="zh-CN" w:bidi="ar-SA"/>
        </w:rPr>
        <w:t>2023年3月30日</w:t>
      </w:r>
    </w:p>
    <w:p>
      <w:pPr>
        <w:spacing w:before="144" w:line="220" w:lineRule="auto"/>
        <w:ind w:left="649"/>
        <w:rPr>
          <w:rFonts w:hint="eastAsia" w:ascii="方正小标宋简体" w:hAnsi="方正小标宋简体" w:eastAsia="方正小标宋简体" w:cs="方正小标宋简体"/>
          <w:b w:val="0"/>
          <w:bCs w:val="0"/>
          <w:spacing w:val="-1"/>
          <w:sz w:val="44"/>
          <w:szCs w:val="44"/>
        </w:rPr>
      </w:pPr>
      <w:r>
        <w:rPr>
          <w:rFonts w:ascii="仿宋" w:hAnsi="仿宋" w:eastAsia="仿宋" w:cs="仿宋"/>
          <w:spacing w:val="6"/>
          <w:sz w:val="31"/>
          <w:szCs w:val="31"/>
        </w:rPr>
        <w:t>(此件公开发布)</w:t>
      </w:r>
    </w:p>
    <w:p>
      <w:pPr>
        <w:keepNext w:val="0"/>
        <w:keepLines w:val="0"/>
        <w:pageBreakBefore w:val="0"/>
        <w:widowControl/>
        <w:kinsoku w:val="0"/>
        <w:wordWrap/>
        <w:overflowPunct/>
        <w:topLinePunct w:val="0"/>
        <w:autoSpaceDE w:val="0"/>
        <w:autoSpaceDN w:val="0"/>
        <w:bidi w:val="0"/>
        <w:adjustRightInd w:val="0"/>
        <w:snapToGrid w:val="0"/>
        <w:spacing w:before="134" w:line="560" w:lineRule="exact"/>
        <w:jc w:val="both"/>
        <w:textAlignment w:val="baseline"/>
        <w:rPr>
          <w:rFonts w:hint="eastAsia" w:ascii="方正小标宋简体" w:hAnsi="方正小标宋简体" w:eastAsia="方正小标宋简体" w:cs="方正小标宋简体"/>
          <w:b w:val="0"/>
          <w:bCs w:val="0"/>
          <w:spacing w:val="-1"/>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rPr>
      </w:pPr>
    </w:p>
    <w:p>
      <w:pPr>
        <w:keepNext w:val="0"/>
        <w:keepLines w:val="0"/>
        <w:pageBreakBefore w:val="0"/>
        <w:widowControl/>
        <w:kinsoku w:val="0"/>
        <w:wordWrap/>
        <w:overflowPunct/>
        <w:topLinePunct w:val="0"/>
        <w:autoSpaceDE w:val="0"/>
        <w:autoSpaceDN w:val="0"/>
        <w:bidi w:val="0"/>
        <w:adjustRightInd w:val="0"/>
        <w:snapToGrid w:val="0"/>
        <w:spacing w:before="134" w:line="560" w:lineRule="exact"/>
        <w:jc w:val="center"/>
        <w:textAlignment w:val="baseline"/>
        <w:rPr>
          <w:rFonts w:ascii="Arial"/>
          <w:sz w:val="21"/>
        </w:rPr>
      </w:pPr>
      <w:r>
        <w:rPr>
          <w:rFonts w:hint="eastAsia" w:ascii="方正小标宋简体" w:hAnsi="方正小标宋简体" w:eastAsia="方正小标宋简体" w:cs="方正小标宋简体"/>
          <w:b w:val="0"/>
          <w:bCs w:val="0"/>
          <w:spacing w:val="-1"/>
          <w:sz w:val="44"/>
          <w:szCs w:val="44"/>
        </w:rPr>
        <w:t>莱芜区突发地质灾害应急预案</w:t>
      </w:r>
    </w:p>
    <w:p>
      <w:pPr>
        <w:keepNext w:val="0"/>
        <w:keepLines w:val="0"/>
        <w:pageBreakBefore w:val="0"/>
        <w:widowControl/>
        <w:kinsoku w:val="0"/>
        <w:wordWrap/>
        <w:overflowPunct/>
        <w:topLinePunct w:val="0"/>
        <w:autoSpaceDE w:val="0"/>
        <w:autoSpaceDN w:val="0"/>
        <w:bidi w:val="0"/>
        <w:adjustRightInd w:val="0"/>
        <w:snapToGrid w:val="0"/>
        <w:spacing w:before="111" w:line="560" w:lineRule="exact"/>
        <w:ind w:left="574"/>
        <w:textAlignment w:val="baseline"/>
        <w:rPr>
          <w:rFonts w:ascii="黑体" w:hAnsi="黑体" w:eastAsia="黑体" w:cs="黑体"/>
          <w:b w:val="0"/>
          <w:bCs w:val="0"/>
          <w:spacing w:val="-2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11" w:line="560" w:lineRule="exact"/>
        <w:ind w:left="574"/>
        <w:textAlignment w:val="baseline"/>
        <w:rPr>
          <w:rFonts w:ascii="黑体" w:hAnsi="黑体" w:eastAsia="黑体" w:cs="黑体"/>
          <w:b w:val="0"/>
          <w:bCs w:val="0"/>
          <w:sz w:val="32"/>
          <w:szCs w:val="32"/>
        </w:rPr>
      </w:pPr>
      <w:r>
        <w:rPr>
          <w:rFonts w:ascii="黑体" w:hAnsi="黑体" w:eastAsia="黑体" w:cs="黑体"/>
          <w:b w:val="0"/>
          <w:bCs w:val="0"/>
          <w:spacing w:val="-21"/>
          <w:sz w:val="32"/>
          <w:szCs w:val="32"/>
        </w:rPr>
        <w:t>1</w:t>
      </w:r>
      <w:r>
        <w:rPr>
          <w:rFonts w:ascii="黑体" w:hAnsi="黑体" w:eastAsia="黑体" w:cs="黑体"/>
          <w:b w:val="0"/>
          <w:bCs w:val="0"/>
          <w:spacing w:val="5"/>
          <w:sz w:val="32"/>
          <w:szCs w:val="32"/>
        </w:rPr>
        <w:t xml:space="preserve">  </w:t>
      </w:r>
      <w:r>
        <w:rPr>
          <w:rFonts w:ascii="黑体" w:hAnsi="黑体" w:eastAsia="黑体" w:cs="黑体"/>
          <w:b w:val="0"/>
          <w:bCs w:val="0"/>
          <w:spacing w:val="-21"/>
          <w:sz w:val="32"/>
          <w:szCs w:val="32"/>
        </w:rPr>
        <w:t>总</w:t>
      </w:r>
      <w:r>
        <w:rPr>
          <w:rFonts w:hint="eastAsia" w:ascii="黑体" w:hAnsi="黑体" w:eastAsia="黑体" w:cs="黑体"/>
          <w:b w:val="0"/>
          <w:bCs w:val="0"/>
          <w:spacing w:val="-21"/>
          <w:sz w:val="32"/>
          <w:szCs w:val="32"/>
          <w:lang w:val="en-US" w:eastAsia="zh-CN"/>
        </w:rPr>
        <w:t xml:space="preserve">  </w:t>
      </w:r>
      <w:r>
        <w:rPr>
          <w:rFonts w:ascii="黑体" w:hAnsi="黑体" w:eastAsia="黑体" w:cs="黑体"/>
          <w:b w:val="0"/>
          <w:bCs w:val="0"/>
          <w:spacing w:val="-21"/>
          <w:sz w:val="32"/>
          <w:szCs w:val="32"/>
        </w:rPr>
        <w:t>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楷体" w:hAnsi="楷体" w:eastAsia="楷体" w:cs="楷体"/>
          <w:sz w:val="32"/>
          <w:szCs w:val="32"/>
        </w:rPr>
      </w:pPr>
      <w:r>
        <w:rPr>
          <w:rFonts w:hint="eastAsia" w:ascii="楷体_GB2312" w:hAnsi="楷体_GB2312" w:eastAsia="楷体_GB2312" w:cs="楷体_GB2312"/>
          <w:color w:val="auto"/>
          <w:sz w:val="32"/>
          <w:szCs w:val="32"/>
          <w:highlight w:val="none"/>
          <w:lang w:bidi="zh-CN"/>
        </w:rPr>
        <w:t>1.1</w:t>
      </w:r>
      <w:r>
        <w:rPr>
          <w:rFonts w:hint="eastAsia" w:ascii="楷体_GB2312" w:hAnsi="楷体_GB2312" w:eastAsia="楷体_GB2312" w:cs="楷体_GB2312"/>
          <w:color w:val="auto"/>
          <w:sz w:val="32"/>
          <w:szCs w:val="32"/>
          <w:highlight w:val="none"/>
          <w:lang w:val="en-US" w:bidi="zh-CN"/>
        </w:rPr>
        <w:t xml:space="preserve">  </w:t>
      </w:r>
      <w:r>
        <w:rPr>
          <w:rFonts w:hint="eastAsia" w:ascii="楷体_GB2312" w:hAnsi="楷体_GB2312" w:eastAsia="楷体_GB2312" w:cs="楷体_GB2312"/>
          <w:color w:val="auto"/>
          <w:sz w:val="32"/>
          <w:szCs w:val="32"/>
          <w:highlight w:val="none"/>
        </w:rPr>
        <w:t>编制目的</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40" w:firstLineChars="200"/>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0"/>
          <w:kern w:val="2"/>
          <w:sz w:val="32"/>
          <w:szCs w:val="32"/>
          <w:highlight w:val="none"/>
          <w:lang w:val="en-US" w:eastAsia="zh-CN" w:bidi="ar-SA"/>
        </w:rPr>
        <w:t>提高我区突发地质灾害应急反应能力，规范应急救援行为，</w:t>
      </w:r>
      <w:r>
        <w:rPr>
          <w:rFonts w:hint="eastAsia" w:ascii="仿宋_GB2312" w:hAnsi="仿宋_GB2312" w:eastAsia="仿宋_GB2312" w:cs="仿宋_GB2312"/>
          <w:snapToGrid/>
          <w:spacing w:val="-7"/>
          <w:kern w:val="2"/>
          <w:sz w:val="32"/>
          <w:szCs w:val="32"/>
          <w:highlight w:val="none"/>
          <w:lang w:val="en-US" w:eastAsia="zh-CN" w:bidi="ar-SA"/>
        </w:rPr>
        <w:t>保障突发地质灾害应急救援工作迅速、高效、有序进行，最大限度地减少或避免人民群众生命和财产损失，维护社会和谐稳定。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color w:val="auto"/>
          <w:sz w:val="32"/>
          <w:szCs w:val="32"/>
          <w:highlight w:val="none"/>
          <w:lang w:bidi="zh-CN"/>
        </w:rPr>
      </w:pPr>
      <w:r>
        <w:rPr>
          <w:rFonts w:hint="eastAsia" w:ascii="楷体_GB2312" w:hAnsi="楷体_GB2312" w:eastAsia="楷体_GB2312" w:cs="楷体_GB2312"/>
          <w:color w:val="auto"/>
          <w:sz w:val="32"/>
          <w:szCs w:val="32"/>
          <w:highlight w:val="none"/>
          <w:lang w:bidi="zh-CN"/>
        </w:rPr>
        <w:t>1.2  编制依据</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40" w:firstLineChars="200"/>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0"/>
          <w:kern w:val="2"/>
          <w:sz w:val="32"/>
          <w:szCs w:val="32"/>
          <w:highlight w:val="none"/>
          <w:lang w:val="en-US" w:eastAsia="zh-CN" w:bidi="ar-SA"/>
        </w:rPr>
        <w:t>依据《中华人民共和国突发事件应对法》《地质灾害防治条</w:t>
      </w:r>
      <w:r>
        <w:rPr>
          <w:rFonts w:hint="eastAsia" w:ascii="仿宋_GB2312" w:hAnsi="仿宋_GB2312" w:eastAsia="仿宋_GB2312" w:cs="仿宋_GB2312"/>
          <w:snapToGrid/>
          <w:spacing w:val="-7"/>
          <w:kern w:val="2"/>
          <w:sz w:val="32"/>
          <w:szCs w:val="32"/>
          <w:highlight w:val="none"/>
          <w:lang w:val="en-US" w:eastAsia="zh-CN" w:bidi="ar-SA"/>
        </w:rPr>
        <w:t>例》《山东省突发地质灾害应急预案》《济南市地质灾害防治管理办法》《济南市突发地质灾害应急预案》《莱芜区突发事件总体应急预案》等规定，结合我区实际，编制本预案。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color w:val="auto"/>
          <w:sz w:val="32"/>
          <w:szCs w:val="32"/>
          <w:highlight w:val="none"/>
          <w:lang w:bidi="zh-CN"/>
        </w:rPr>
      </w:pPr>
      <w:r>
        <w:rPr>
          <w:rFonts w:hint="eastAsia" w:ascii="楷体_GB2312" w:hAnsi="楷体_GB2312" w:eastAsia="楷体_GB2312" w:cs="楷体_GB2312"/>
          <w:color w:val="auto"/>
          <w:sz w:val="32"/>
          <w:szCs w:val="32"/>
          <w:highlight w:val="none"/>
          <w:lang w:bidi="zh-CN"/>
        </w:rPr>
        <w:t>1.3  适用范围</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12" w:firstLineChars="200"/>
        <w:textAlignment w:val="baseline"/>
        <w:rPr>
          <w:rFonts w:hint="eastAsia" w:ascii="仿宋_GB2312" w:hAnsi="仿宋_GB2312" w:eastAsia="仿宋_GB2312" w:cs="仿宋_GB2312"/>
          <w:snapToGrid/>
          <w:spacing w:val="0"/>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本预案适用于我区行政区域内自然因素或者人为活动引发的山体崩塌、滑坡、泥石流、地面塌陷等与地质作用有关的突发地质灾害的灾后抢险救灾和临灾应急处置工作。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12" w:firstLineChars="200"/>
        <w:textAlignment w:val="baseline"/>
        <w:rPr>
          <w:rFonts w:ascii="仿宋" w:hAnsi="仿宋" w:eastAsia="仿宋" w:cs="仿宋"/>
          <w:sz w:val="30"/>
          <w:szCs w:val="30"/>
        </w:rPr>
      </w:pPr>
      <w:r>
        <w:rPr>
          <w:rFonts w:hint="eastAsia" w:ascii="仿宋_GB2312" w:hAnsi="仿宋_GB2312" w:eastAsia="仿宋_GB2312" w:cs="仿宋_GB2312"/>
          <w:snapToGrid/>
          <w:spacing w:val="-7"/>
          <w:kern w:val="2"/>
          <w:sz w:val="32"/>
          <w:szCs w:val="32"/>
          <w:highlight w:val="none"/>
          <w:lang w:val="en-US" w:eastAsia="zh-CN" w:bidi="ar-SA"/>
        </w:rPr>
        <w:t>我区地质灾害以崩塌、泥石流及岩溶塌陷为主。崩塌、泥石流地质灾害分布在南部、东部及北部山区，近几年发生较少，主要是新修山区道路边坡易发生崩塌。岩溶塌陷地质灾害分布在地下岩溶水丰富的区域，主要集中在凤城街道孟家庄村至张家洼街</w:t>
      </w:r>
      <w:r>
        <w:rPr>
          <w:rFonts w:hint="eastAsia" w:ascii="仿宋_GB2312" w:hAnsi="仿宋_GB2312" w:eastAsia="仿宋_GB2312" w:cs="仿宋_GB2312"/>
          <w:snapToGrid/>
          <w:spacing w:val="-6"/>
          <w:kern w:val="2"/>
          <w:sz w:val="32"/>
          <w:szCs w:val="32"/>
          <w:highlight w:val="none"/>
          <w:lang w:val="en-US" w:eastAsia="zh-CN" w:bidi="ar-SA"/>
        </w:rPr>
        <w:t>道曹东村一带、方下街道耿公清村至张家洼街道孟公清村一带、</w:t>
      </w:r>
      <w:r>
        <w:rPr>
          <w:rFonts w:hint="eastAsia" w:ascii="仿宋_GB2312" w:hAnsi="仿宋_GB2312" w:eastAsia="仿宋_GB2312" w:cs="仿宋_GB2312"/>
          <w:snapToGrid/>
          <w:spacing w:val="-7"/>
          <w:kern w:val="2"/>
          <w:sz w:val="32"/>
          <w:szCs w:val="32"/>
          <w:highlight w:val="none"/>
          <w:lang w:val="en-US" w:eastAsia="zh-CN" w:bidi="ar-SA"/>
        </w:rPr>
        <w:t>牛泉镇泉河一带、寨里镇后枯河村至大王庄镇孤山村一带。</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eastAsia" w:ascii="楷体_GB2312" w:hAnsi="楷体_GB2312" w:eastAsia="楷体_GB2312" w:cs="楷体_GB2312"/>
          <w:color w:val="auto"/>
          <w:sz w:val="32"/>
          <w:szCs w:val="32"/>
          <w:highlight w:val="none"/>
          <w:lang w:val="en-US" w:bidi="zh-CN"/>
        </w:rPr>
      </w:pPr>
      <w:r>
        <w:rPr>
          <w:rFonts w:hint="eastAsia" w:ascii="楷体_GB2312" w:hAnsi="楷体_GB2312" w:eastAsia="楷体_GB2312" w:cs="楷体_GB2312"/>
          <w:color w:val="auto"/>
          <w:sz w:val="32"/>
          <w:szCs w:val="32"/>
          <w:highlight w:val="none"/>
          <w:lang w:val="en-US" w:bidi="zh-CN"/>
        </w:rPr>
        <w:t>1.4  工作原则</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坚持以人为本、以防为主、防抗救相结合；统一领导、分工负责；分级管理、属地为主；依法规范、高效有序的工作原则。</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黑体" w:hAnsi="黑体" w:eastAsia="黑体" w:cs="黑体"/>
          <w:snapToGrid/>
          <w:spacing w:val="-7"/>
          <w:kern w:val="2"/>
          <w:sz w:val="32"/>
          <w:szCs w:val="32"/>
          <w:highlight w:val="none"/>
          <w:lang w:val="en-US" w:eastAsia="zh-CN" w:bidi="ar-SA"/>
        </w:rPr>
      </w:pPr>
      <w:r>
        <w:rPr>
          <w:rFonts w:hint="eastAsia" w:ascii="黑体" w:hAnsi="黑体" w:eastAsia="黑体" w:cs="黑体"/>
          <w:snapToGrid/>
          <w:spacing w:val="-7"/>
          <w:kern w:val="2"/>
          <w:sz w:val="32"/>
          <w:szCs w:val="32"/>
          <w:highlight w:val="none"/>
          <w:lang w:val="en-US" w:eastAsia="zh-CN" w:bidi="ar-SA"/>
        </w:rPr>
        <w:t>2  组织体系</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发生地质灾害灾情险情后，区政府成立区地质灾害应急救援指挥部（以下简称区指挥部），负责统一指挥和协调全区突发地质灾害应急处置工作。</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eastAsia" w:ascii="楷体_GB2312" w:hAnsi="楷体_GB2312" w:eastAsia="楷体_GB2312" w:cs="楷体_GB2312"/>
          <w:color w:val="auto"/>
          <w:sz w:val="32"/>
          <w:szCs w:val="32"/>
          <w:highlight w:val="none"/>
          <w:lang w:val="en-US" w:bidi="zh-CN"/>
        </w:rPr>
      </w:pPr>
      <w:r>
        <w:rPr>
          <w:rFonts w:hint="eastAsia" w:ascii="楷体_GB2312" w:hAnsi="楷体_GB2312" w:eastAsia="楷体_GB2312" w:cs="楷体_GB2312"/>
          <w:color w:val="auto"/>
          <w:sz w:val="32"/>
          <w:szCs w:val="32"/>
          <w:highlight w:val="none"/>
          <w:lang w:val="en-US" w:bidi="zh-CN"/>
        </w:rPr>
        <w:t>2.1  区指挥部组成及职责</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指挥长：区政府指定的负责同志</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eastAsia" w:ascii="仿宋_GB2312" w:hAnsi="仿宋_GB2312" w:eastAsia="仿宋_GB2312" w:cs="仿宋_GB2312"/>
          <w:snapToGrid/>
          <w:spacing w:val="0"/>
          <w:kern w:val="2"/>
          <w:sz w:val="32"/>
          <w:szCs w:val="32"/>
          <w:highlight w:val="none"/>
          <w:lang w:val="en-US" w:eastAsia="zh-CN" w:bidi="ar-SA"/>
        </w:rPr>
      </w:pPr>
      <w:r>
        <w:rPr>
          <w:rFonts w:hint="eastAsia" w:ascii="仿宋_GB2312" w:hAnsi="仿宋_GB2312" w:eastAsia="仿宋_GB2312" w:cs="仿宋_GB2312"/>
          <w:snapToGrid/>
          <w:spacing w:val="0"/>
          <w:kern w:val="2"/>
          <w:sz w:val="32"/>
          <w:szCs w:val="32"/>
          <w:highlight w:val="none"/>
          <w:lang w:val="en-US" w:eastAsia="zh-CN" w:bidi="ar-SA"/>
        </w:rPr>
        <w:t>副指挥长：区政府办公室相关负责同志、区自然资源局局长、区应急局局长、区消防救援大队大队长</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成员：区委宣传部、区人武部、区发展改革局、区教育和体育局、区工业和信息化局、区民政局、区司法局、区财政局、区自然资源局、区住房城乡建设局、区交通运输局、区水务局、区农业农村局、区文化和旅游局、区卫生健康局、区应急局、区金融事业发展中心、区园林绿化和林业发展中心、区商务综合服务中心、市公安局莱芜区分局、市生态环境局莱芜分局、区消防救</w:t>
      </w:r>
      <w:r>
        <w:rPr>
          <w:rFonts w:hint="eastAsia" w:ascii="仿宋_GB2312" w:hAnsi="仿宋_GB2312" w:eastAsia="仿宋_GB2312" w:cs="仿宋_GB2312"/>
          <w:snapToGrid/>
          <w:spacing w:val="-5"/>
          <w:kern w:val="2"/>
          <w:sz w:val="32"/>
          <w:szCs w:val="32"/>
          <w:highlight w:val="none"/>
          <w:lang w:val="en-US" w:eastAsia="zh-CN" w:bidi="ar-SA"/>
        </w:rPr>
        <w:t>援大队、市气象局莱芜气象服务处、移动莱芜分公司、联通莱芜</w:t>
      </w:r>
      <w:r>
        <w:rPr>
          <w:rFonts w:hint="eastAsia" w:ascii="仿宋_GB2312" w:hAnsi="仿宋_GB2312" w:eastAsia="仿宋_GB2312" w:cs="仿宋_GB2312"/>
          <w:snapToGrid/>
          <w:spacing w:val="-7"/>
          <w:kern w:val="2"/>
          <w:sz w:val="32"/>
          <w:szCs w:val="32"/>
          <w:highlight w:val="none"/>
          <w:lang w:val="en-US" w:eastAsia="zh-CN" w:bidi="ar-SA"/>
        </w:rPr>
        <w:t>分公司、电信莱芜分公司、国网莱芜供电公司负责同志。</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主要职责：贯彻执行市地质灾害应急救援指挥部（以下简称市指挥部）和区政府决策部署；统一领导、指挥和协调全区地质灾害应急处置工作；组织部署有关部门单位和受灾街道（镇）开展现场救灾；指导街道（镇）办事处（人民政府）做好地质灾害应急处置工作。</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eastAsia" w:ascii="楷体_GB2312" w:hAnsi="楷体_GB2312" w:eastAsia="楷体_GB2312" w:cs="楷体_GB2312"/>
          <w:color w:val="auto"/>
          <w:sz w:val="32"/>
          <w:szCs w:val="32"/>
          <w:highlight w:val="none"/>
          <w:lang w:val="en-US" w:bidi="zh-CN"/>
        </w:rPr>
      </w:pPr>
      <w:r>
        <w:rPr>
          <w:rFonts w:hint="eastAsia" w:ascii="楷体_GB2312" w:hAnsi="楷体_GB2312" w:eastAsia="楷体_GB2312" w:cs="楷体_GB2312"/>
          <w:color w:val="auto"/>
          <w:sz w:val="32"/>
          <w:szCs w:val="32"/>
          <w:highlight w:val="none"/>
          <w:lang w:val="en-US" w:bidi="zh-CN"/>
        </w:rPr>
        <w:t>2.2  区指挥部办公室及职责</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区指挥部办公室设在区应急局，办公室主任由区应急局局长担任，办公室副主任由区自然资源局分管副局长、区应急局分管副局长、区消防救援大队副大队长担任。</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主要职责：贯彻落实区指挥部的指示和工作部署，协调并督促落实受灾街道（镇）地质灾害应急救援指挥部、区指挥部成员单位之间的应急工作；汇总、上报突发地质灾害险情灾情、应急处置和救灾进展情况；组织有关成员单位和专家分析地质灾害险情灾情发展趋势并提出应急处置与救援工作方案，为区指挥部提</w:t>
      </w:r>
      <w:r>
        <w:rPr>
          <w:rFonts w:hint="eastAsia" w:ascii="仿宋_GB2312" w:hAnsi="仿宋_GB2312" w:eastAsia="仿宋_GB2312" w:cs="仿宋_GB2312"/>
          <w:snapToGrid/>
          <w:spacing w:val="2"/>
          <w:kern w:val="2"/>
          <w:sz w:val="32"/>
          <w:szCs w:val="32"/>
          <w:highlight w:val="none"/>
          <w:lang w:val="en-US" w:eastAsia="zh-CN" w:bidi="ar-SA"/>
        </w:rPr>
        <w:t>供决策支撑；组织有关新闻发布、接待慰问、对外联络等工作；起草区指挥部文件；做好与市指挥部办公室的协调汇报等工作；承担区指挥部日常事务和区指挥部交办的其他工作。</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黑体" w:hAnsi="黑体" w:eastAsia="黑体" w:cs="黑体"/>
          <w:snapToGrid/>
          <w:spacing w:val="-7"/>
          <w:kern w:val="2"/>
          <w:sz w:val="32"/>
          <w:szCs w:val="32"/>
          <w:highlight w:val="none"/>
          <w:lang w:val="en-US" w:eastAsia="zh-CN" w:bidi="ar-SA"/>
        </w:rPr>
      </w:pPr>
      <w:r>
        <w:rPr>
          <w:rFonts w:hint="eastAsia" w:ascii="黑体" w:hAnsi="黑体" w:eastAsia="黑体" w:cs="黑体"/>
          <w:snapToGrid/>
          <w:spacing w:val="-7"/>
          <w:kern w:val="2"/>
          <w:sz w:val="32"/>
          <w:szCs w:val="32"/>
          <w:highlight w:val="none"/>
          <w:lang w:val="en-US" w:eastAsia="zh-CN" w:bidi="ar-SA"/>
        </w:rPr>
        <w:t>3  预防预警与信息报送</w:t>
      </w:r>
    </w:p>
    <w:p>
      <w:pPr>
        <w:keepNext w:val="0"/>
        <w:keepLines w:val="0"/>
        <w:pageBreakBefore w:val="0"/>
        <w:widowControl w:val="0"/>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eastAsia" w:ascii="楷体_GB2312" w:hAnsi="楷体_GB2312" w:eastAsia="楷体_GB2312" w:cs="楷体_GB2312"/>
          <w:color w:val="auto"/>
          <w:sz w:val="32"/>
          <w:szCs w:val="32"/>
          <w:highlight w:val="none"/>
          <w:lang w:val="en-US" w:bidi="zh-CN"/>
        </w:rPr>
      </w:pPr>
      <w:r>
        <w:rPr>
          <w:rFonts w:hint="eastAsia" w:ascii="楷体_GB2312" w:hAnsi="楷体_GB2312" w:eastAsia="楷体_GB2312" w:cs="楷体_GB2312"/>
          <w:color w:val="auto"/>
          <w:sz w:val="32"/>
          <w:szCs w:val="32"/>
          <w:highlight w:val="none"/>
          <w:lang w:val="en-US" w:bidi="zh-CN"/>
        </w:rPr>
        <w:t>3.1  预防预警</w:t>
      </w:r>
    </w:p>
    <w:p>
      <w:pPr>
        <w:keepNext w:val="0"/>
        <w:keepLines w:val="0"/>
        <w:pageBreakBefore w:val="0"/>
        <w:widowControl w:val="0"/>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0"/>
          <w:kern w:val="2"/>
          <w:sz w:val="32"/>
          <w:szCs w:val="32"/>
          <w:highlight w:val="none"/>
          <w:lang w:val="en-US" w:eastAsia="zh-CN" w:bidi="ar-SA"/>
        </w:rPr>
        <w:t>3.1.1  健全完善群测群防、群专结合、上下信息互通的地</w:t>
      </w:r>
      <w:r>
        <w:rPr>
          <w:rFonts w:hint="eastAsia" w:ascii="仿宋_GB2312" w:hAnsi="仿宋_GB2312" w:eastAsia="仿宋_GB2312" w:cs="仿宋_GB2312"/>
          <w:snapToGrid/>
          <w:spacing w:val="-7"/>
          <w:kern w:val="2"/>
          <w:sz w:val="32"/>
          <w:szCs w:val="32"/>
          <w:highlight w:val="none"/>
          <w:lang w:val="en-US" w:eastAsia="zh-CN" w:bidi="ar-SA"/>
        </w:rPr>
        <w:t>质灾害监测网络。各责任单位按要求开展地质灾害隐患点监测工作，做好群测群防工作。</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52" w:firstLineChars="200"/>
        <w:jc w:val="both"/>
        <w:textAlignment w:val="baseline"/>
        <w:rPr>
          <w:rFonts w:hint="eastAsia" w:ascii="仿宋_GB2312" w:hAnsi="仿宋_GB2312" w:eastAsia="仿宋_GB2312" w:cs="仿宋_GB2312"/>
          <w:snapToGrid/>
          <w:spacing w:val="3"/>
          <w:kern w:val="2"/>
          <w:sz w:val="32"/>
          <w:szCs w:val="32"/>
          <w:highlight w:val="none"/>
          <w:lang w:val="en-US" w:eastAsia="zh-CN" w:bidi="ar-SA"/>
        </w:rPr>
      </w:pPr>
      <w:r>
        <w:rPr>
          <w:rFonts w:hint="eastAsia" w:ascii="仿宋_GB2312" w:hAnsi="仿宋_GB2312" w:eastAsia="仿宋_GB2312" w:cs="仿宋_GB2312"/>
          <w:snapToGrid/>
          <w:spacing w:val="3"/>
          <w:kern w:val="2"/>
          <w:sz w:val="32"/>
          <w:szCs w:val="32"/>
          <w:highlight w:val="none"/>
          <w:lang w:val="en-US" w:eastAsia="zh-CN" w:bidi="ar-SA"/>
        </w:rPr>
        <w:t>3.1.2  开展地质灾害险情巡查，教育和体育、自然资源、住房城乡建设、交通运输、水务、农业农村等部门单位密切配</w:t>
      </w:r>
      <w:r>
        <w:rPr>
          <w:rFonts w:hint="eastAsia" w:ascii="仿宋_GB2312" w:hAnsi="仿宋_GB2312" w:eastAsia="仿宋_GB2312" w:cs="仿宋_GB2312"/>
          <w:snapToGrid/>
          <w:spacing w:val="0"/>
          <w:kern w:val="2"/>
          <w:sz w:val="32"/>
          <w:szCs w:val="32"/>
          <w:highlight w:val="none"/>
          <w:lang w:val="en-US" w:eastAsia="zh-CN" w:bidi="ar-SA"/>
        </w:rPr>
        <w:t>合，按职责做好巡查工作并及时处置。</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3.1.3   自然资源主管部门、气象主管机构、应急管理部门针对可能出现的地质灾害险情灾情进行分析研判，形成气象风险</w:t>
      </w:r>
      <w:r>
        <w:rPr>
          <w:rFonts w:hint="eastAsia" w:ascii="仿宋_GB2312" w:hAnsi="仿宋_GB2312" w:eastAsia="仿宋_GB2312" w:cs="仿宋_GB2312"/>
          <w:snapToGrid/>
          <w:spacing w:val="0"/>
          <w:kern w:val="2"/>
          <w:sz w:val="32"/>
          <w:szCs w:val="32"/>
          <w:highlight w:val="none"/>
          <w:lang w:val="en-US" w:eastAsia="zh-CN" w:bidi="ar-SA"/>
        </w:rPr>
        <w:t>预警信息。预警级别从高到低分为红色、橙色、黄色和蓝色四</w:t>
      </w:r>
      <w:r>
        <w:rPr>
          <w:rFonts w:hint="eastAsia" w:ascii="仿宋_GB2312" w:hAnsi="仿宋_GB2312" w:eastAsia="仿宋_GB2312" w:cs="仿宋_GB2312"/>
          <w:snapToGrid/>
          <w:spacing w:val="-7"/>
          <w:kern w:val="2"/>
          <w:sz w:val="32"/>
          <w:szCs w:val="32"/>
          <w:highlight w:val="none"/>
          <w:lang w:val="en-US" w:eastAsia="zh-CN" w:bidi="ar-SA"/>
        </w:rPr>
        <w:t>级。黄色及以上的地质灾害气象风险预警信息要通过媒体向社会发布。各级各部门单位根据地质灾害气象风险预警信息，做好防灾减灾准备工作。市气象局莱芜气象服务处利用突发事件预警信息发布系统及时发布气象预警信息。</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eastAsia" w:ascii="楷体_GB2312" w:hAnsi="楷体_GB2312" w:eastAsia="楷体_GB2312" w:cs="楷体_GB2312"/>
          <w:color w:val="auto"/>
          <w:sz w:val="32"/>
          <w:szCs w:val="32"/>
          <w:highlight w:val="none"/>
          <w:lang w:val="en-US" w:eastAsia="zh-CN" w:bidi="zh-CN"/>
        </w:rPr>
      </w:pPr>
      <w:r>
        <w:rPr>
          <w:rFonts w:hint="eastAsia" w:ascii="楷体_GB2312" w:hAnsi="楷体_GB2312" w:eastAsia="楷体_GB2312" w:cs="楷体_GB2312"/>
          <w:color w:val="auto"/>
          <w:sz w:val="32"/>
          <w:szCs w:val="32"/>
          <w:highlight w:val="none"/>
          <w:lang w:val="en-US" w:eastAsia="zh-CN" w:bidi="zh-CN"/>
        </w:rPr>
        <w:t>3.2  灾情险情报送</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3.2.1  报送内容</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地质灾害发生的时间、地点、地质灾害类型、规模等；地质灾害造成的伤亡和失踪人数、直接经济损失；受地质灾害威胁的户数、人数、财产数；地质灾害引发原因及趋势、已采取措施及意见建议。</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3.2.2  报送流程</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发现地质灾害险情或灾情的单位和个人，应立即向区自然资</w:t>
      </w:r>
      <w:r>
        <w:rPr>
          <w:rFonts w:hint="eastAsia" w:ascii="仿宋_GB2312" w:hAnsi="仿宋_GB2312" w:eastAsia="仿宋_GB2312" w:cs="仿宋_GB2312"/>
          <w:snapToGrid/>
          <w:spacing w:val="3"/>
          <w:kern w:val="2"/>
          <w:sz w:val="32"/>
          <w:szCs w:val="32"/>
          <w:highlight w:val="none"/>
          <w:lang w:val="en-US" w:eastAsia="zh-CN" w:bidi="ar-SA"/>
        </w:rPr>
        <w:t>源</w:t>
      </w:r>
      <w:r>
        <w:rPr>
          <w:rFonts w:hint="eastAsia" w:ascii="仿宋_GB2312" w:hAnsi="仿宋_GB2312" w:eastAsia="仿宋_GB2312" w:cs="仿宋_GB2312"/>
          <w:snapToGrid/>
          <w:spacing w:val="0"/>
          <w:kern w:val="2"/>
          <w:sz w:val="32"/>
          <w:szCs w:val="32"/>
          <w:highlight w:val="none"/>
          <w:lang w:val="en-US" w:eastAsia="zh-CN" w:bidi="ar-SA"/>
        </w:rPr>
        <w:t>局、区应急局报告（联系电话：区自然资源局76282161,区应</w:t>
      </w:r>
      <w:r>
        <w:rPr>
          <w:rFonts w:hint="eastAsia" w:ascii="仿宋_GB2312" w:hAnsi="仿宋_GB2312" w:eastAsia="仿宋_GB2312" w:cs="仿宋_GB2312"/>
          <w:snapToGrid/>
          <w:spacing w:val="-7"/>
          <w:kern w:val="2"/>
          <w:sz w:val="32"/>
          <w:szCs w:val="32"/>
          <w:highlight w:val="none"/>
          <w:lang w:val="en-US" w:eastAsia="zh-CN" w:bidi="ar-SA"/>
        </w:rPr>
        <w:t>急局76210781）；区自然资源局、区应急局在获知地质灾害发生信息后，应立即向区政府报告，并按相关规定报上级主管部门。</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地质灾害发生信息原则上应逐级上报，遇有大型以上或有人</w:t>
      </w:r>
      <w:r>
        <w:rPr>
          <w:rFonts w:hint="eastAsia" w:ascii="仿宋_GB2312" w:hAnsi="仿宋_GB2312" w:eastAsia="仿宋_GB2312" w:cs="仿宋_GB2312"/>
          <w:snapToGrid/>
          <w:spacing w:val="0"/>
          <w:kern w:val="2"/>
          <w:sz w:val="32"/>
          <w:szCs w:val="32"/>
          <w:highlight w:val="none"/>
          <w:lang w:val="en-US" w:eastAsia="zh-CN" w:bidi="ar-SA"/>
        </w:rPr>
        <w:t>员伤亡的地质灾害时，区政府可越级上报省政府，区自然资源</w:t>
      </w:r>
      <w:r>
        <w:rPr>
          <w:rFonts w:hint="eastAsia" w:ascii="仿宋_GB2312" w:hAnsi="仿宋_GB2312" w:eastAsia="仿宋_GB2312" w:cs="仿宋_GB2312"/>
          <w:snapToGrid/>
          <w:spacing w:val="-7"/>
          <w:kern w:val="2"/>
          <w:sz w:val="32"/>
          <w:szCs w:val="32"/>
          <w:highlight w:val="none"/>
          <w:lang w:val="en-US" w:eastAsia="zh-CN" w:bidi="ar-SA"/>
        </w:rPr>
        <w:t>局、区应急局可越级上报至省级主管部门，并完成逐级补报。</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黑体" w:hAnsi="黑体" w:eastAsia="黑体" w:cs="黑体"/>
          <w:snapToGrid/>
          <w:spacing w:val="-7"/>
          <w:kern w:val="2"/>
          <w:sz w:val="32"/>
          <w:szCs w:val="32"/>
          <w:highlight w:val="none"/>
          <w:lang w:val="en-US" w:eastAsia="zh-CN" w:bidi="ar-SA"/>
        </w:rPr>
      </w:pPr>
      <w:r>
        <w:rPr>
          <w:rFonts w:hint="eastAsia" w:ascii="黑体" w:hAnsi="黑体" w:eastAsia="黑体" w:cs="黑体"/>
          <w:snapToGrid/>
          <w:spacing w:val="-7"/>
          <w:kern w:val="2"/>
          <w:sz w:val="32"/>
          <w:szCs w:val="32"/>
          <w:highlight w:val="none"/>
          <w:lang w:val="en-US" w:eastAsia="zh-CN" w:bidi="ar-SA"/>
        </w:rPr>
        <w:t>4  地质灾害险情灾情分级</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根据地质灾害危害程度和规模大小等因素，地质灾害险情灾情分为特大型、大型、中型、小型四级。</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（1）特大型</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default"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0"/>
          <w:kern w:val="2"/>
          <w:sz w:val="32"/>
          <w:szCs w:val="32"/>
          <w:highlight w:val="none"/>
          <w:lang w:val="en-US" w:eastAsia="zh-CN" w:bidi="ar-SA"/>
        </w:rPr>
        <w:t>受灾害威胁，需搬迁转移人数</w:t>
      </w:r>
      <w:r>
        <w:rPr>
          <w:rFonts w:hint="eastAsia" w:ascii="仿宋_GB2312" w:hAnsi="仿宋_GB2312" w:eastAsia="仿宋_GB2312" w:cs="仿宋_GB2312"/>
          <w:spacing w:val="0"/>
          <w:sz w:val="32"/>
          <w:szCs w:val="32"/>
          <w:highlight w:val="none"/>
        </w:rPr>
        <w:t>在1000人</w:t>
      </w:r>
      <w:r>
        <w:rPr>
          <w:rFonts w:hint="eastAsia" w:ascii="仿宋_GB2312" w:hAnsi="仿宋_GB2312" w:eastAsia="仿宋_GB2312" w:cs="仿宋_GB2312"/>
          <w:snapToGrid/>
          <w:spacing w:val="0"/>
          <w:kern w:val="2"/>
          <w:sz w:val="32"/>
          <w:szCs w:val="32"/>
          <w:highlight w:val="none"/>
          <w:lang w:val="en-US" w:eastAsia="zh-CN" w:bidi="ar-SA"/>
        </w:rPr>
        <w:t>以上或潜在可能造</w:t>
      </w:r>
      <w:r>
        <w:rPr>
          <w:rFonts w:hint="eastAsia" w:ascii="仿宋_GB2312" w:hAnsi="仿宋_GB2312" w:eastAsia="仿宋_GB2312" w:cs="仿宋_GB2312"/>
          <w:spacing w:val="0"/>
          <w:sz w:val="32"/>
          <w:szCs w:val="32"/>
          <w:highlight w:val="none"/>
          <w:lang w:val="en-US" w:eastAsia="zh-CN"/>
        </w:rPr>
        <w:t>成经济损失1亿元以上的特大型地质灾害险情。</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0"/>
          <w:kern w:val="2"/>
          <w:sz w:val="32"/>
          <w:szCs w:val="32"/>
          <w:highlight w:val="none"/>
          <w:lang w:val="en-US" w:eastAsia="zh-CN" w:bidi="ar-SA"/>
        </w:rPr>
        <w:t>因灾死亡30人以上或因灾造成直接经济损失1000万元以上</w:t>
      </w:r>
      <w:r>
        <w:rPr>
          <w:rFonts w:hint="eastAsia" w:ascii="仿宋_GB2312" w:hAnsi="仿宋_GB2312" w:eastAsia="仿宋_GB2312" w:cs="仿宋_GB2312"/>
          <w:snapToGrid/>
          <w:spacing w:val="-7"/>
          <w:kern w:val="2"/>
          <w:sz w:val="32"/>
          <w:szCs w:val="32"/>
          <w:highlight w:val="none"/>
          <w:lang w:val="en-US" w:eastAsia="zh-CN" w:bidi="ar-SA"/>
        </w:rPr>
        <w:t>的特大型地质灾害灾情。</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（2）大型</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64" w:firstLineChars="200"/>
        <w:jc w:val="both"/>
        <w:textAlignment w:val="baseline"/>
        <w:rPr>
          <w:rFonts w:hint="eastAsia" w:ascii="仿宋_GB2312" w:hAnsi="仿宋_GB2312" w:eastAsia="仿宋_GB2312" w:cs="仿宋_GB2312"/>
          <w:snapToGrid/>
          <w:spacing w:val="15"/>
          <w:kern w:val="2"/>
          <w:sz w:val="32"/>
          <w:szCs w:val="32"/>
          <w:highlight w:val="none"/>
          <w:lang w:val="en-US" w:eastAsia="zh-CN" w:bidi="ar-SA"/>
        </w:rPr>
      </w:pPr>
      <w:r>
        <w:rPr>
          <w:rFonts w:hint="eastAsia" w:ascii="仿宋_GB2312" w:hAnsi="仿宋_GB2312" w:eastAsia="仿宋_GB2312" w:cs="仿宋_GB2312"/>
          <w:snapToGrid/>
          <w:spacing w:val="6"/>
          <w:kern w:val="2"/>
          <w:sz w:val="32"/>
          <w:szCs w:val="32"/>
          <w:highlight w:val="none"/>
          <w:lang w:val="en-US" w:eastAsia="zh-CN" w:bidi="ar-SA"/>
        </w:rPr>
        <w:t>受灾害威胁，需搬迁转移人数</w:t>
      </w:r>
      <w:r>
        <w:rPr>
          <w:rFonts w:hint="eastAsia" w:ascii="仿宋_GB2312" w:hAnsi="仿宋_GB2312" w:eastAsia="仿宋_GB2312" w:cs="仿宋_GB2312"/>
          <w:spacing w:val="6"/>
          <w:sz w:val="32"/>
          <w:szCs w:val="32"/>
          <w:highlight w:val="none"/>
        </w:rPr>
        <w:t>在500人以上、1000人</w:t>
      </w:r>
      <w:r>
        <w:rPr>
          <w:rFonts w:hint="eastAsia" w:ascii="仿宋_GB2312" w:hAnsi="仿宋_GB2312" w:eastAsia="仿宋_GB2312" w:cs="仿宋_GB2312"/>
          <w:snapToGrid/>
          <w:spacing w:val="6"/>
          <w:kern w:val="2"/>
          <w:sz w:val="32"/>
          <w:szCs w:val="32"/>
          <w:highlight w:val="none"/>
          <w:lang w:val="en-US" w:eastAsia="zh-CN" w:bidi="ar-SA"/>
        </w:rPr>
        <w:t>以下，</w:t>
      </w:r>
      <w:r>
        <w:rPr>
          <w:rFonts w:hint="eastAsia" w:ascii="仿宋_GB2312" w:hAnsi="仿宋_GB2312" w:eastAsia="仿宋_GB2312" w:cs="仿宋_GB2312"/>
          <w:snapToGrid/>
          <w:spacing w:val="17"/>
          <w:kern w:val="2"/>
          <w:sz w:val="32"/>
          <w:szCs w:val="32"/>
          <w:highlight w:val="none"/>
          <w:lang w:val="en-US" w:eastAsia="zh-CN" w:bidi="ar-SA"/>
        </w:rPr>
        <w:t>或潜在经济损失5000万元以上、1亿元以下的大型地质灾害</w:t>
      </w:r>
      <w:r>
        <w:rPr>
          <w:rFonts w:hint="eastAsia" w:ascii="仿宋_GB2312" w:hAnsi="仿宋_GB2312" w:eastAsia="仿宋_GB2312" w:cs="仿宋_GB2312"/>
          <w:snapToGrid/>
          <w:spacing w:val="15"/>
          <w:kern w:val="2"/>
          <w:sz w:val="32"/>
          <w:szCs w:val="32"/>
          <w:highlight w:val="none"/>
          <w:lang w:val="en-US" w:eastAsia="zh-CN" w:bidi="ar-SA"/>
        </w:rPr>
        <w:t>险情。</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因灾死亡10人以上、30人以下，或因灾造成直接经济损失500万元以上、1000万元以下的大型地质灾害灾情。</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12" w:firstLineChars="200"/>
        <w:jc w:val="both"/>
        <w:textAlignment w:val="baseline"/>
        <w:rPr>
          <w:rFonts w:hint="default"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（3）中型</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9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13"/>
          <w:kern w:val="2"/>
          <w:sz w:val="32"/>
          <w:szCs w:val="32"/>
          <w:highlight w:val="none"/>
          <w:lang w:val="en-US" w:eastAsia="zh-CN" w:bidi="ar-SA"/>
        </w:rPr>
        <w:t>受灾害威胁，需搬迁转移人数在100人以上、500人以下，</w:t>
      </w:r>
      <w:r>
        <w:rPr>
          <w:rFonts w:hint="eastAsia" w:ascii="仿宋_GB2312" w:hAnsi="仿宋_GB2312" w:eastAsia="仿宋_GB2312" w:cs="仿宋_GB2312"/>
          <w:snapToGrid/>
          <w:spacing w:val="6"/>
          <w:kern w:val="2"/>
          <w:sz w:val="32"/>
          <w:szCs w:val="32"/>
          <w:highlight w:val="none"/>
          <w:lang w:val="en-US" w:eastAsia="zh-CN" w:bidi="ar-SA"/>
        </w:rPr>
        <w:t>或潜在经济损失500万元以上、5000万元以下的中型地质灾害险情。</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0"/>
          <w:kern w:val="2"/>
          <w:sz w:val="32"/>
          <w:szCs w:val="32"/>
          <w:highlight w:val="none"/>
          <w:lang w:val="en-US" w:eastAsia="zh-CN" w:bidi="ar-SA"/>
        </w:rPr>
        <w:t>因灾死亡3人以上、10人以下，或因灾造成直接经济损失</w:t>
      </w:r>
      <w:r>
        <w:rPr>
          <w:rFonts w:hint="eastAsia" w:ascii="仿宋_GB2312" w:hAnsi="仿宋_GB2312" w:eastAsia="仿宋_GB2312" w:cs="仿宋_GB2312"/>
          <w:snapToGrid/>
          <w:spacing w:val="-7"/>
          <w:kern w:val="2"/>
          <w:sz w:val="32"/>
          <w:szCs w:val="32"/>
          <w:highlight w:val="none"/>
          <w:lang w:val="en-US" w:eastAsia="zh-CN" w:bidi="ar-SA"/>
        </w:rPr>
        <w:t>100万元以上、500万元以下的中型地质灾害灾情。</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（4）小型</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eastAsia" w:ascii="仿宋_GB2312" w:hAnsi="仿宋_GB2312" w:eastAsia="仿宋_GB2312" w:cs="仿宋_GB2312"/>
          <w:snapToGrid/>
          <w:spacing w:val="6"/>
          <w:kern w:val="2"/>
          <w:sz w:val="32"/>
          <w:szCs w:val="32"/>
          <w:highlight w:val="none"/>
          <w:lang w:val="en-US" w:eastAsia="zh-CN" w:bidi="ar-SA"/>
        </w:rPr>
      </w:pPr>
      <w:r>
        <w:rPr>
          <w:rFonts w:hint="eastAsia" w:ascii="仿宋_GB2312" w:hAnsi="仿宋_GB2312" w:eastAsia="仿宋_GB2312" w:cs="仿宋_GB2312"/>
          <w:snapToGrid/>
          <w:spacing w:val="0"/>
          <w:kern w:val="2"/>
          <w:sz w:val="32"/>
          <w:szCs w:val="32"/>
          <w:highlight w:val="none"/>
          <w:lang w:val="en-US" w:eastAsia="zh-CN" w:bidi="ar-SA"/>
        </w:rPr>
        <w:t>受灾害威胁，需搬迁转移人数在100人以下，或潜在经济损失500万元以下的小型地质灾害险情。</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64" w:firstLineChars="200"/>
        <w:jc w:val="both"/>
        <w:textAlignment w:val="baseline"/>
        <w:rPr>
          <w:rFonts w:hint="eastAsia" w:ascii="仿宋_GB2312" w:hAnsi="仿宋_GB2312" w:eastAsia="仿宋_GB2312" w:cs="仿宋_GB2312"/>
          <w:snapToGrid/>
          <w:spacing w:val="6"/>
          <w:kern w:val="2"/>
          <w:sz w:val="32"/>
          <w:szCs w:val="32"/>
          <w:highlight w:val="none"/>
          <w:lang w:val="en-US" w:eastAsia="zh-CN" w:bidi="ar-SA"/>
        </w:rPr>
      </w:pPr>
      <w:r>
        <w:rPr>
          <w:rFonts w:hint="eastAsia" w:ascii="仿宋_GB2312" w:hAnsi="仿宋_GB2312" w:eastAsia="仿宋_GB2312" w:cs="仿宋_GB2312"/>
          <w:snapToGrid/>
          <w:spacing w:val="6"/>
          <w:kern w:val="2"/>
          <w:sz w:val="32"/>
          <w:szCs w:val="32"/>
          <w:highlight w:val="none"/>
          <w:lang w:val="en-US" w:eastAsia="zh-CN" w:bidi="ar-SA"/>
        </w:rPr>
        <w:t>因灾死亡3人以下，或因灾造成直接经济损失100万元以下</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jc w:val="both"/>
        <w:textAlignment w:val="baseline"/>
        <w:rPr>
          <w:rFonts w:hint="eastAsia" w:ascii="仿宋_GB2312" w:hAnsi="仿宋_GB2312" w:eastAsia="仿宋_GB2312" w:cs="仿宋_GB2312"/>
          <w:snapToGrid/>
          <w:spacing w:val="6"/>
          <w:kern w:val="2"/>
          <w:sz w:val="32"/>
          <w:szCs w:val="32"/>
          <w:highlight w:val="none"/>
          <w:lang w:val="en-US" w:eastAsia="zh-CN" w:bidi="ar-SA"/>
        </w:rPr>
      </w:pPr>
      <w:r>
        <w:rPr>
          <w:rFonts w:hint="eastAsia" w:ascii="仿宋_GB2312" w:hAnsi="仿宋_GB2312" w:eastAsia="仿宋_GB2312" w:cs="仿宋_GB2312"/>
          <w:snapToGrid/>
          <w:spacing w:val="6"/>
          <w:kern w:val="2"/>
          <w:sz w:val="32"/>
          <w:szCs w:val="32"/>
          <w:highlight w:val="none"/>
          <w:lang w:val="en-US" w:eastAsia="zh-CN" w:bidi="ar-SA"/>
        </w:rPr>
        <w:t>的小型地质灾害灾情。</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黑体" w:hAnsi="黑体" w:eastAsia="黑体" w:cs="黑体"/>
          <w:snapToGrid/>
          <w:spacing w:val="-7"/>
          <w:kern w:val="2"/>
          <w:sz w:val="32"/>
          <w:szCs w:val="32"/>
          <w:highlight w:val="none"/>
          <w:lang w:val="en-US" w:eastAsia="zh-CN" w:bidi="ar-SA"/>
        </w:rPr>
      </w:pPr>
      <w:r>
        <w:rPr>
          <w:rFonts w:hint="eastAsia" w:ascii="黑体" w:hAnsi="黑体" w:eastAsia="黑体" w:cs="黑体"/>
          <w:snapToGrid/>
          <w:spacing w:val="-7"/>
          <w:kern w:val="2"/>
          <w:sz w:val="32"/>
          <w:szCs w:val="32"/>
          <w:highlight w:val="none"/>
          <w:lang w:val="en-US" w:eastAsia="zh-CN" w:bidi="ar-SA"/>
        </w:rPr>
        <w:t>5  先期处置</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5"/>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街道（镇）办事处（人民政府）、区直有关责任部门单位发现或接报突发地质灾害后，应立即派人赶赴现场，采取设置转移路线、设立警示标志、封锁进出道路等必要的先期处置措施，组</w:t>
      </w:r>
      <w:r>
        <w:rPr>
          <w:rFonts w:hint="eastAsia" w:ascii="仿宋_GB2312" w:hAnsi="仿宋_GB2312" w:eastAsia="仿宋_GB2312" w:cs="仿宋_GB2312"/>
          <w:snapToGrid/>
          <w:spacing w:val="-5"/>
          <w:kern w:val="2"/>
          <w:sz w:val="32"/>
          <w:szCs w:val="32"/>
          <w:highlight w:val="none"/>
          <w:lang w:val="en-US" w:eastAsia="zh-CN" w:bidi="ar-SA"/>
        </w:rPr>
        <w:t>织疏散撤离受灾害威胁区域人员，搜救被困或失联人员，做好次</w:t>
      </w:r>
    </w:p>
    <w:p>
      <w:pPr>
        <w:keepNext w:val="0"/>
        <w:keepLines w:val="0"/>
        <w:pageBreakBefore w:val="0"/>
        <w:widowControl w:val="0"/>
        <w:kinsoku w:val="0"/>
        <w:wordWrap/>
        <w:overflowPunct/>
        <w:topLinePunct w:val="0"/>
        <w:autoSpaceDE w:val="0"/>
        <w:autoSpaceDN w:val="0"/>
        <w:bidi w:val="0"/>
        <w:adjustRightInd w:val="0"/>
        <w:snapToGrid w:val="0"/>
        <w:spacing w:before="98" w:line="560" w:lineRule="exact"/>
        <w:jc w:val="both"/>
        <w:textAlignment w:val="baseline"/>
        <w:rPr>
          <w:rFonts w:hint="eastAsia" w:ascii="仿宋_GB2312" w:hAnsi="仿宋_GB2312" w:eastAsia="仿宋_GB2312" w:cs="仿宋_GB2312"/>
          <w:snapToGrid/>
          <w:spacing w:val="-5"/>
          <w:kern w:val="2"/>
          <w:sz w:val="32"/>
          <w:szCs w:val="32"/>
          <w:highlight w:val="none"/>
          <w:lang w:val="en-US" w:eastAsia="zh-CN" w:bidi="ar-SA"/>
        </w:rPr>
      </w:pPr>
      <w:r>
        <w:rPr>
          <w:rFonts w:hint="eastAsia" w:ascii="仿宋_GB2312" w:hAnsi="仿宋_GB2312" w:eastAsia="仿宋_GB2312" w:cs="仿宋_GB2312"/>
          <w:snapToGrid/>
          <w:spacing w:val="-5"/>
          <w:kern w:val="2"/>
          <w:sz w:val="32"/>
          <w:szCs w:val="32"/>
          <w:highlight w:val="none"/>
          <w:lang w:val="en-US" w:eastAsia="zh-CN" w:bidi="ar-SA"/>
        </w:rPr>
        <w:t>生灾害防范工作，并防止灾情进一步扩大。</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12" w:firstLineChars="200"/>
        <w:jc w:val="both"/>
        <w:textAlignment w:val="baseline"/>
        <w:rPr>
          <w:rFonts w:hint="eastAsia" w:ascii="黑体" w:hAnsi="黑体" w:eastAsia="黑体" w:cs="黑体"/>
          <w:snapToGrid/>
          <w:spacing w:val="-7"/>
          <w:kern w:val="2"/>
          <w:sz w:val="32"/>
          <w:szCs w:val="32"/>
          <w:highlight w:val="none"/>
          <w:lang w:val="en-US" w:eastAsia="zh-CN" w:bidi="ar-SA"/>
        </w:rPr>
      </w:pPr>
      <w:r>
        <w:rPr>
          <w:rFonts w:hint="eastAsia" w:ascii="黑体" w:hAnsi="黑体" w:eastAsia="黑体" w:cs="黑体"/>
          <w:snapToGrid/>
          <w:spacing w:val="-7"/>
          <w:kern w:val="2"/>
          <w:sz w:val="32"/>
          <w:szCs w:val="32"/>
          <w:highlight w:val="none"/>
          <w:lang w:val="en-US" w:eastAsia="zh-CN" w:bidi="ar-SA"/>
        </w:rPr>
        <w:t>6  应急响应</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color w:val="auto"/>
          <w:sz w:val="32"/>
          <w:szCs w:val="32"/>
          <w:highlight w:val="none"/>
          <w:lang w:val="en-US" w:eastAsia="zh-CN" w:bidi="zh-CN"/>
        </w:rPr>
      </w:pPr>
      <w:r>
        <w:rPr>
          <w:rFonts w:hint="eastAsia" w:ascii="楷体_GB2312" w:hAnsi="楷体_GB2312" w:eastAsia="楷体_GB2312" w:cs="楷体_GB2312"/>
          <w:color w:val="auto"/>
          <w:sz w:val="32"/>
          <w:szCs w:val="32"/>
          <w:highlight w:val="none"/>
          <w:lang w:val="en-US" w:eastAsia="zh-CN" w:bidi="zh-CN"/>
        </w:rPr>
        <w:t>6.1  应急响应级别</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12" w:firstLineChars="200"/>
        <w:jc w:val="both"/>
        <w:textAlignment w:val="baseline"/>
        <w:rPr>
          <w:rFonts w:hint="eastAsia" w:ascii="仿宋_GB2312" w:hAnsi="仿宋_GB2312" w:eastAsia="仿宋_GB2312" w:cs="仿宋_GB2312"/>
          <w:snapToGrid/>
          <w:spacing w:val="-6"/>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当发生大型、特大型突发地质灾害险情灾情时，启动I级应</w:t>
      </w:r>
      <w:r>
        <w:rPr>
          <w:rFonts w:hint="eastAsia" w:ascii="仿宋_GB2312" w:hAnsi="仿宋_GB2312" w:eastAsia="仿宋_GB2312" w:cs="仿宋_GB2312"/>
          <w:snapToGrid/>
          <w:spacing w:val="0"/>
          <w:kern w:val="2"/>
          <w:sz w:val="32"/>
          <w:szCs w:val="32"/>
          <w:highlight w:val="none"/>
          <w:lang w:val="en-US" w:eastAsia="zh-CN" w:bidi="ar-SA"/>
        </w:rPr>
        <w:t>急响应；发生中型突发地质灾害险情灾情时，启动Ⅱ级应急响</w:t>
      </w:r>
      <w:r>
        <w:rPr>
          <w:rFonts w:hint="eastAsia" w:ascii="仿宋_GB2312" w:hAnsi="仿宋_GB2312" w:eastAsia="仿宋_GB2312" w:cs="仿宋_GB2312"/>
          <w:snapToGrid/>
          <w:spacing w:val="-6"/>
          <w:kern w:val="2"/>
          <w:sz w:val="32"/>
          <w:szCs w:val="32"/>
          <w:highlight w:val="none"/>
          <w:lang w:val="en-US" w:eastAsia="zh-CN" w:bidi="ar-SA"/>
        </w:rPr>
        <w:t>应；发生小型突发地质灾害险情灾情时，启动Ⅲ级应急响应。</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5"/>
          <w:kern w:val="2"/>
          <w:sz w:val="32"/>
          <w:szCs w:val="32"/>
          <w:highlight w:val="none"/>
          <w:lang w:val="en-US" w:eastAsia="zh-CN" w:bidi="ar-SA"/>
        </w:rPr>
        <w:t>启动Ⅱ级、Ⅲ级应急响应时，由区指挥部牵头负责应急处置</w:t>
      </w:r>
      <w:r>
        <w:rPr>
          <w:rFonts w:hint="eastAsia" w:ascii="仿宋_GB2312" w:hAnsi="仿宋_GB2312" w:eastAsia="仿宋_GB2312" w:cs="仿宋_GB2312"/>
          <w:snapToGrid/>
          <w:spacing w:val="-7"/>
          <w:kern w:val="2"/>
          <w:sz w:val="32"/>
          <w:szCs w:val="32"/>
          <w:highlight w:val="none"/>
          <w:lang w:val="en-US" w:eastAsia="zh-CN" w:bidi="ar-SA"/>
        </w:rPr>
        <w:t>工作，视情争取市政府、市指挥部办公室及有关部门单位的指导和支持；启动I级应急响应时，由市指挥部牵头负责应急处置工作。</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Ⅲ级应急响应由区指挥部办公室决定启动，Ⅱ级、I级应急响应由区政府决定启动。</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eastAsia" w:ascii="楷体_GB2312" w:hAnsi="楷体_GB2312" w:eastAsia="楷体_GB2312" w:cs="楷体_GB2312"/>
          <w:color w:val="auto"/>
          <w:sz w:val="32"/>
          <w:szCs w:val="32"/>
          <w:highlight w:val="none"/>
          <w:lang w:val="en-US" w:eastAsia="zh-CN" w:bidi="zh-CN"/>
        </w:rPr>
      </w:pPr>
      <w:r>
        <w:rPr>
          <w:rFonts w:hint="eastAsia" w:ascii="楷体_GB2312" w:hAnsi="楷体_GB2312" w:eastAsia="楷体_GB2312" w:cs="楷体_GB2312"/>
          <w:color w:val="auto"/>
          <w:sz w:val="32"/>
          <w:szCs w:val="32"/>
          <w:highlight w:val="none"/>
          <w:lang w:val="en-US" w:eastAsia="zh-CN" w:bidi="zh-CN"/>
        </w:rPr>
        <w:t>6.2  响应措施</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（1）区指挥部负责统一领导、指挥和协调地质灾害应急处置工作，各工作组按照职责做好相关工作。</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（2）区指挥部办公室立即向相关成员单位及灾区街道（镇）地质灾害应急救援指挥部调度灾害信息，及时向市指挥部报告灾情险情。</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（3）区指挥部贯彻落实市指挥部抗灾救灾工作部署，统筹开展应急处置工作。</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（4）区指挥部派出副指挥长带队，有关部门单位参加的工作组和专家组赶赴灾区，指导当地开展救灾工作。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（5）组织营救和救治受伤人员，确定预警信号和撤离路线，疏散撤离并妥善安置受灾人员。</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（6）根据抢险救灾需要及时划定地质灾害危险区，设立明显的危险区警示标志；加强监测，查明并及时组织力量消除次生灾害、衍生灾害。</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0"/>
          <w:kern w:val="2"/>
          <w:sz w:val="32"/>
          <w:szCs w:val="32"/>
          <w:highlight w:val="none"/>
          <w:lang w:val="en-US" w:eastAsia="zh-CN" w:bidi="ar-SA"/>
        </w:rPr>
        <w:t>（7）统筹组织全区应急救援力量、专家队伍、解放军、武</w:t>
      </w:r>
      <w:r>
        <w:rPr>
          <w:rFonts w:hint="eastAsia" w:ascii="仿宋_GB2312" w:hAnsi="仿宋_GB2312" w:eastAsia="仿宋_GB2312" w:cs="仿宋_GB2312"/>
          <w:snapToGrid/>
          <w:spacing w:val="-7"/>
          <w:kern w:val="2"/>
          <w:sz w:val="32"/>
          <w:szCs w:val="32"/>
          <w:highlight w:val="none"/>
          <w:lang w:val="en-US" w:eastAsia="zh-CN" w:bidi="ar-SA"/>
        </w:rPr>
        <w:t>警、民兵等支援灾区实施抢险救援、紧急转移安置、基础设施抢修、灾情监测、医疗救护、环境监测、卫生防疫、社会秩序维护和协助政府运送、接卸、发放救灾物资等。</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（8）紧急调拨救援装备、生活救助物资，协调交通运输、公安部门做好运输保障；拨付救灾资金，指导监督街道（镇）救灾应急措施的落实和救灾款物的发放。</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（9）加强值班值守，监测灾害发展趋势，与灾区保持密切联系，及时掌握灾情和救援工作动态。</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（10）按照有关规定统一发布灾情，及时发布灾区需求，有关部门单位切实做好灾害监测、预警、预报和新闻宣传工作。</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4"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1"/>
          <w:kern w:val="2"/>
          <w:sz w:val="32"/>
          <w:szCs w:val="32"/>
          <w:highlight w:val="none"/>
          <w:lang w:val="en-US" w:eastAsia="zh-CN" w:bidi="ar-SA"/>
        </w:rPr>
        <w:t>（11）区指挥部成员单位每日向综合协调组报送工作情况，重要情况及时上报；综合协调组将有关情况及时上报市指挥部，</w:t>
      </w:r>
      <w:r>
        <w:rPr>
          <w:rFonts w:hint="eastAsia" w:ascii="仿宋_GB2312" w:hAnsi="仿宋_GB2312" w:eastAsia="仿宋_GB2312" w:cs="仿宋_GB2312"/>
          <w:snapToGrid/>
          <w:spacing w:val="-7"/>
          <w:kern w:val="2"/>
          <w:sz w:val="32"/>
          <w:szCs w:val="32"/>
          <w:highlight w:val="none"/>
          <w:lang w:val="en-US" w:eastAsia="zh-CN" w:bidi="ar-SA"/>
        </w:rPr>
        <w:t>并抄送区指挥部成员单位。</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（12）协调有关部门单位落实对灾区抗灾救灾工作的支持。</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（13）请求市指挥部支援应急处置工作。</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eastAsia" w:ascii="楷体_GB2312" w:hAnsi="楷体_GB2312" w:eastAsia="楷体_GB2312" w:cs="楷体_GB2312"/>
          <w:color w:val="auto"/>
          <w:sz w:val="32"/>
          <w:szCs w:val="32"/>
          <w:highlight w:val="none"/>
          <w:lang w:val="en-US" w:eastAsia="zh-CN" w:bidi="zh-CN"/>
        </w:rPr>
      </w:pPr>
      <w:r>
        <w:rPr>
          <w:rFonts w:hint="eastAsia" w:ascii="楷体_GB2312" w:hAnsi="楷体_GB2312" w:eastAsia="楷体_GB2312" w:cs="楷体_GB2312"/>
          <w:color w:val="auto"/>
          <w:sz w:val="32"/>
          <w:szCs w:val="32"/>
          <w:highlight w:val="none"/>
          <w:lang w:val="en-US" w:eastAsia="zh-CN" w:bidi="zh-CN"/>
        </w:rPr>
        <w:t>6.3  预警期的应急响应</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启动条件：市气象局莱芜气象服务处发布黄色及以上地质灾害气象风险预警。</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（1）区应急局、区自然资源局视情组织地质专家，对全区地质灾害应急准备工作落实情况进行检查。</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9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12"/>
          <w:kern w:val="2"/>
          <w:sz w:val="32"/>
          <w:szCs w:val="32"/>
          <w:highlight w:val="none"/>
          <w:lang w:val="en-US" w:eastAsia="zh-CN" w:bidi="ar-SA"/>
        </w:rPr>
        <w:t>（2）接到红色避险预警信息后，区应急局根据实际情况组织</w:t>
      </w:r>
      <w:r>
        <w:rPr>
          <w:rFonts w:hint="eastAsia" w:ascii="仿宋_GB2312" w:hAnsi="仿宋_GB2312" w:eastAsia="仿宋_GB2312" w:cs="仿宋_GB2312"/>
          <w:snapToGrid/>
          <w:spacing w:val="-7"/>
          <w:kern w:val="2"/>
          <w:sz w:val="32"/>
          <w:szCs w:val="32"/>
          <w:highlight w:val="none"/>
          <w:lang w:val="en-US" w:eastAsia="zh-CN" w:bidi="ar-SA"/>
        </w:rPr>
        <w:t>救援队伍集结待命，做好抢险救灾准备，随时奔赴受灾现场；区自然资源局协助基层相关人员做好避险撤离工作，督促加强群测群防工作，组织开展应急调查，迅速查清灾情险情。</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3）街道（镇）接到红色避险预警信息或灾情险情报告后，应立即核实情况，划定地质灾害危险区，设置醒目的危险区警示标志，按照预警信号和撤离路线，及时组织受威胁群众紧急避灾疏散，将灾情险情及时报告区政府和区自然资源局、区应急局。</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（4）群测群防员、村（居）民委员会发现或接到灾情险情报告后，应及时通知受威胁人员，危急时第一时间组织人员转移至安全地带。</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eastAsia" w:ascii="楷体_GB2312" w:hAnsi="楷体_GB2312" w:eastAsia="楷体_GB2312" w:cs="楷体_GB2312"/>
          <w:color w:val="auto"/>
          <w:sz w:val="32"/>
          <w:szCs w:val="32"/>
          <w:highlight w:val="none"/>
          <w:lang w:val="en-US" w:eastAsia="zh-CN" w:bidi="zh-CN"/>
        </w:rPr>
      </w:pPr>
      <w:r>
        <w:rPr>
          <w:rFonts w:hint="eastAsia" w:ascii="楷体_GB2312" w:hAnsi="楷体_GB2312" w:eastAsia="楷体_GB2312" w:cs="楷体_GB2312"/>
          <w:color w:val="auto"/>
          <w:sz w:val="32"/>
          <w:szCs w:val="32"/>
          <w:highlight w:val="none"/>
          <w:lang w:val="en-US" w:eastAsia="zh-CN" w:bidi="zh-CN"/>
        </w:rPr>
        <w:t>6.4  响应终止</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参考下述指标，根据省应急厅、市应急局、区政府或区应急局意见，启动响应的部门单位宣布终止应急响应，地质灾害应急响应工作结束：</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（1）地质灾害现场应急处置工作基本完成，地质灾害发展形势趋于稳定，地质灾害灾情险情基本得到控制，受灾群众基本得到安置，灾区生活基本恢复正常。</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（2）预警信息发布时段结束。</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12" w:firstLineChars="200"/>
        <w:jc w:val="both"/>
        <w:textAlignment w:val="baseline"/>
        <w:rPr>
          <w:rFonts w:hint="eastAsia" w:ascii="黑体" w:hAnsi="黑体" w:eastAsia="黑体" w:cs="黑体"/>
          <w:snapToGrid/>
          <w:spacing w:val="-7"/>
          <w:kern w:val="2"/>
          <w:sz w:val="32"/>
          <w:szCs w:val="32"/>
          <w:highlight w:val="none"/>
          <w:lang w:val="en-US" w:eastAsia="zh-CN" w:bidi="ar-SA"/>
        </w:rPr>
      </w:pPr>
      <w:r>
        <w:rPr>
          <w:rFonts w:hint="eastAsia" w:ascii="黑体" w:hAnsi="黑体" w:eastAsia="黑体" w:cs="黑体"/>
          <w:snapToGrid/>
          <w:spacing w:val="-7"/>
          <w:kern w:val="2"/>
          <w:sz w:val="32"/>
          <w:szCs w:val="32"/>
          <w:highlight w:val="none"/>
          <w:lang w:val="en-US" w:eastAsia="zh-CN" w:bidi="ar-SA"/>
        </w:rPr>
        <w:t>7  保障措施</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color w:val="auto"/>
          <w:sz w:val="32"/>
          <w:szCs w:val="32"/>
          <w:highlight w:val="none"/>
          <w:lang w:val="en-US" w:eastAsia="zh-CN" w:bidi="zh-CN"/>
        </w:rPr>
      </w:pPr>
      <w:r>
        <w:rPr>
          <w:rFonts w:hint="eastAsia" w:ascii="楷体_GB2312" w:hAnsi="楷体_GB2312" w:eastAsia="楷体_GB2312" w:cs="楷体_GB2312"/>
          <w:color w:val="auto"/>
          <w:sz w:val="32"/>
          <w:szCs w:val="32"/>
          <w:highlight w:val="none"/>
          <w:lang w:val="en-US" w:eastAsia="zh-CN" w:bidi="zh-CN"/>
        </w:rPr>
        <w:t>7.1  预案保障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各街道（镇）办事处（人民政府）应组织制修订本行政区域的突发地质灾害应急预案并报区应急局备案。区政府有关部门单</w:t>
      </w:r>
      <w:r>
        <w:rPr>
          <w:rFonts w:hint="eastAsia" w:ascii="仿宋_GB2312" w:hAnsi="仿宋_GB2312" w:eastAsia="仿宋_GB2312" w:cs="仿宋_GB2312"/>
          <w:snapToGrid/>
          <w:spacing w:val="0"/>
          <w:kern w:val="2"/>
          <w:sz w:val="32"/>
          <w:szCs w:val="32"/>
          <w:highlight w:val="none"/>
          <w:lang w:val="en-US" w:eastAsia="zh-CN" w:bidi="ar-SA"/>
        </w:rPr>
        <w:t>位应制修订本部门单位突发地质灾害应急预案并报区应急局备</w:t>
      </w:r>
      <w:r>
        <w:rPr>
          <w:rFonts w:hint="eastAsia" w:ascii="仿宋_GB2312" w:hAnsi="仿宋_GB2312" w:eastAsia="仿宋_GB2312" w:cs="仿宋_GB2312"/>
          <w:snapToGrid/>
          <w:spacing w:val="-7"/>
          <w:kern w:val="2"/>
          <w:sz w:val="32"/>
          <w:szCs w:val="32"/>
          <w:highlight w:val="none"/>
          <w:lang w:val="en-US" w:eastAsia="zh-CN" w:bidi="ar-SA"/>
        </w:rPr>
        <w:t>案。生命线设施、人员密集场的经营管理单位和可能发生次生灾害的生产经营单位，应当制定突发地质灾害应急预案，并报所在地的应急管理部门备案。预案编制单位根据实际情况，定期结合预案开展应急演练。</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eastAsia" w:ascii="楷体_GB2312" w:hAnsi="楷体_GB2312" w:eastAsia="楷体_GB2312" w:cs="楷体_GB2312"/>
          <w:color w:val="auto"/>
          <w:sz w:val="32"/>
          <w:szCs w:val="32"/>
          <w:highlight w:val="none"/>
          <w:lang w:val="en-US" w:eastAsia="zh-CN" w:bidi="zh-CN"/>
        </w:rPr>
      </w:pPr>
      <w:r>
        <w:rPr>
          <w:rFonts w:hint="eastAsia" w:ascii="楷体_GB2312" w:hAnsi="楷体_GB2312" w:eastAsia="楷体_GB2312" w:cs="楷体_GB2312"/>
          <w:color w:val="auto"/>
          <w:sz w:val="32"/>
          <w:szCs w:val="32"/>
          <w:highlight w:val="none"/>
          <w:lang w:val="en-US" w:eastAsia="zh-CN" w:bidi="zh-CN"/>
        </w:rPr>
        <w:t>7.2  应急救援队伍</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加强各级各类地质灾害救援队、医疗救护队、工程抢险抢修专业队和志愿者队伍等社会救援力量建设，建立地质灾害应急救</w:t>
      </w:r>
      <w:r>
        <w:rPr>
          <w:rFonts w:hint="eastAsia" w:ascii="仿宋_GB2312" w:hAnsi="仿宋_GB2312" w:eastAsia="仿宋_GB2312" w:cs="仿宋_GB2312"/>
          <w:snapToGrid/>
          <w:spacing w:val="0"/>
          <w:kern w:val="2"/>
          <w:sz w:val="32"/>
          <w:szCs w:val="32"/>
          <w:highlight w:val="none"/>
          <w:lang w:val="en-US" w:eastAsia="zh-CN" w:bidi="ar-SA"/>
        </w:rPr>
        <w:t>援技术培训和演练工作机制，提高专业水平及应急抢险实战</w:t>
      </w:r>
      <w:r>
        <w:rPr>
          <w:rFonts w:hint="eastAsia" w:ascii="仿宋_GB2312" w:hAnsi="仿宋_GB2312" w:eastAsia="仿宋_GB2312" w:cs="仿宋_GB2312"/>
          <w:snapToGrid/>
          <w:spacing w:val="-7"/>
          <w:kern w:val="2"/>
          <w:sz w:val="32"/>
          <w:szCs w:val="32"/>
          <w:highlight w:val="none"/>
          <w:lang w:val="en-US" w:eastAsia="zh-CN" w:bidi="ar-SA"/>
        </w:rPr>
        <w:t>能力。</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eastAsia" w:ascii="楷体_GB2312" w:hAnsi="楷体_GB2312" w:eastAsia="楷体_GB2312" w:cs="楷体_GB2312"/>
          <w:color w:val="auto"/>
          <w:sz w:val="32"/>
          <w:szCs w:val="32"/>
          <w:highlight w:val="none"/>
          <w:lang w:val="en-US" w:eastAsia="zh-CN" w:bidi="zh-CN"/>
        </w:rPr>
      </w:pPr>
      <w:r>
        <w:rPr>
          <w:rFonts w:hint="eastAsia" w:ascii="楷体_GB2312" w:hAnsi="楷体_GB2312" w:eastAsia="楷体_GB2312" w:cs="楷体_GB2312"/>
          <w:color w:val="auto"/>
          <w:sz w:val="32"/>
          <w:szCs w:val="32"/>
          <w:highlight w:val="none"/>
          <w:lang w:val="en-US" w:eastAsia="zh-CN" w:bidi="zh-CN"/>
        </w:rPr>
        <w:t>7.3  指挥平台</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应急管理部门协同自然资源部门，建立健全应急指挥信息系统，形成上下贯通、反应灵敏、功能完善、统一高效的应急指挥平台，做到灾情险情快速响应、应急指挥科学决策、灾害损失快速评估以及动态跟踪、趋势判断的快速反馈，实现对应急救援工作的合理调度、科学决策和准确指挥。</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eastAsia" w:ascii="楷体_GB2312" w:hAnsi="楷体_GB2312" w:eastAsia="楷体_GB2312" w:cs="楷体_GB2312"/>
          <w:color w:val="auto"/>
          <w:sz w:val="32"/>
          <w:szCs w:val="32"/>
          <w:highlight w:val="none"/>
          <w:lang w:val="en-US" w:eastAsia="zh-CN" w:bidi="zh-CN"/>
        </w:rPr>
      </w:pPr>
      <w:r>
        <w:rPr>
          <w:rFonts w:hint="eastAsia" w:ascii="楷体_GB2312" w:hAnsi="楷体_GB2312" w:eastAsia="楷体_GB2312" w:cs="楷体_GB2312"/>
          <w:color w:val="auto"/>
          <w:sz w:val="32"/>
          <w:szCs w:val="32"/>
          <w:highlight w:val="none"/>
          <w:lang w:val="en-US" w:eastAsia="zh-CN" w:bidi="zh-CN"/>
        </w:rPr>
        <w:t>7.4  应急技术支撑</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ascii="仿宋" w:hAnsi="仿宋" w:eastAsia="仿宋" w:cs="仿宋"/>
          <w:sz w:val="31"/>
          <w:szCs w:val="31"/>
        </w:rPr>
      </w:pPr>
      <w:r>
        <w:rPr>
          <w:rFonts w:hint="eastAsia" w:ascii="仿宋_GB2312" w:hAnsi="仿宋_GB2312" w:eastAsia="仿宋_GB2312" w:cs="仿宋_GB2312"/>
          <w:snapToGrid/>
          <w:spacing w:val="-7"/>
          <w:kern w:val="2"/>
          <w:sz w:val="32"/>
          <w:szCs w:val="32"/>
          <w:highlight w:val="none"/>
          <w:lang w:val="en-US" w:eastAsia="zh-CN" w:bidi="ar-SA"/>
        </w:rPr>
        <w:t>自然资源部门应明确地质灾害应急技术支撑单位，指导街道（镇）做好突发地质灾害险情调查监测工作，为地质灾害应急救援提供技术支撑。</w:t>
      </w:r>
    </w:p>
    <w:p>
      <w:pPr>
        <w:keepNext w:val="0"/>
        <w:keepLines w:val="0"/>
        <w:pageBreakBefore w:val="0"/>
        <w:widowControl/>
        <w:kinsoku w:val="0"/>
        <w:wordWrap/>
        <w:overflowPunct/>
        <w:topLinePunct w:val="0"/>
        <w:autoSpaceDE w:val="0"/>
        <w:autoSpaceDN w:val="0"/>
        <w:bidi w:val="0"/>
        <w:adjustRightInd w:val="0"/>
        <w:snapToGrid w:val="0"/>
        <w:spacing w:before="100" w:line="560" w:lineRule="exact"/>
        <w:ind w:firstLine="640" w:firstLineChars="200"/>
        <w:textAlignment w:val="baseline"/>
        <w:outlineLvl w:val="0"/>
        <w:rPr>
          <w:rFonts w:hint="eastAsia" w:ascii="楷体_GB2312" w:hAnsi="楷体_GB2312" w:eastAsia="楷体_GB2312" w:cs="楷体_GB2312"/>
          <w:color w:val="auto"/>
          <w:sz w:val="32"/>
          <w:szCs w:val="32"/>
          <w:highlight w:val="none"/>
          <w:lang w:val="en-US" w:eastAsia="zh-CN" w:bidi="zh-CN"/>
        </w:rPr>
      </w:pPr>
      <w:r>
        <w:rPr>
          <w:rFonts w:hint="eastAsia" w:ascii="楷体_GB2312" w:hAnsi="楷体_GB2312" w:eastAsia="楷体_GB2312" w:cs="楷体_GB2312"/>
          <w:color w:val="auto"/>
          <w:sz w:val="32"/>
          <w:szCs w:val="32"/>
          <w:highlight w:val="none"/>
          <w:lang w:val="en-US" w:eastAsia="zh-CN" w:bidi="zh-CN"/>
        </w:rPr>
        <w:t>7.5  资金与物资装备</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区政府根据应急救援工作所需经费情况，将地质灾害应急抢险救灾经费纳入本级年度财政计划和预算，确保应急救援工作顺利开展。</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0"/>
          <w:kern w:val="2"/>
          <w:sz w:val="32"/>
          <w:szCs w:val="32"/>
          <w:highlight w:val="none"/>
          <w:lang w:val="en-US" w:eastAsia="zh-CN" w:bidi="ar-SA"/>
        </w:rPr>
        <w:t>区指挥部成员单位应按照工作职责，建立健全应急物资储</w:t>
      </w:r>
      <w:r>
        <w:rPr>
          <w:rFonts w:hint="eastAsia" w:ascii="仿宋_GB2312" w:hAnsi="仿宋_GB2312" w:eastAsia="仿宋_GB2312" w:cs="仿宋_GB2312"/>
          <w:snapToGrid/>
          <w:spacing w:val="-7"/>
          <w:kern w:val="2"/>
          <w:sz w:val="32"/>
          <w:szCs w:val="32"/>
          <w:highlight w:val="none"/>
          <w:lang w:val="en-US" w:eastAsia="zh-CN" w:bidi="ar-SA"/>
        </w:rPr>
        <w:t>备、生产、调拨及紧急配送体系，保障地质灾害应急工作所需生活救助物资及应急救援、监测预警、现场调查、人员防护、应急通信、通信指挥、后勤保障、工程抢险装备、医疗器械、药品等</w:t>
      </w:r>
      <w:r>
        <w:rPr>
          <w:rFonts w:hint="eastAsia" w:ascii="仿宋_GB2312" w:hAnsi="仿宋_GB2312" w:eastAsia="仿宋_GB2312" w:cs="仿宋_GB2312"/>
          <w:snapToGrid/>
          <w:spacing w:val="0"/>
          <w:kern w:val="2"/>
          <w:sz w:val="32"/>
          <w:szCs w:val="32"/>
          <w:highlight w:val="none"/>
          <w:lang w:val="en-US" w:eastAsia="zh-CN" w:bidi="ar-SA"/>
        </w:rPr>
        <w:t>的生产供应。区政府及有关部门单位做好统筹规划、日常储备、</w:t>
      </w:r>
      <w:r>
        <w:rPr>
          <w:rFonts w:hint="eastAsia" w:ascii="仿宋_GB2312" w:hAnsi="仿宋_GB2312" w:eastAsia="仿宋_GB2312" w:cs="仿宋_GB2312"/>
          <w:snapToGrid/>
          <w:spacing w:val="-7"/>
          <w:kern w:val="2"/>
          <w:sz w:val="32"/>
          <w:szCs w:val="32"/>
          <w:highlight w:val="none"/>
          <w:lang w:val="en-US" w:eastAsia="zh-CN" w:bidi="ar-SA"/>
        </w:rPr>
        <w:t>监督管理和调拨分配等工作。</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eastAsia" w:ascii="楷体_GB2312" w:hAnsi="楷体_GB2312" w:eastAsia="楷体_GB2312" w:cs="楷体_GB2312"/>
          <w:color w:val="auto"/>
          <w:sz w:val="32"/>
          <w:szCs w:val="32"/>
          <w:highlight w:val="none"/>
          <w:lang w:val="en-US" w:eastAsia="zh-CN" w:bidi="zh-CN"/>
        </w:rPr>
      </w:pPr>
      <w:r>
        <w:rPr>
          <w:rFonts w:hint="eastAsia" w:ascii="楷体_GB2312" w:hAnsi="楷体_GB2312" w:eastAsia="楷体_GB2312" w:cs="楷体_GB2312"/>
          <w:color w:val="auto"/>
          <w:sz w:val="32"/>
          <w:szCs w:val="32"/>
          <w:highlight w:val="none"/>
          <w:lang w:val="en-US" w:eastAsia="zh-CN" w:bidi="zh-CN"/>
        </w:rPr>
        <w:t>7.6  应急避难场所</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区政府及有关部门单位应建立必要的应急避难场所，同时合理利用符合条件的广场、绿地、公园、学校、体育场馆等公共设施，因地制宜设立地质灾害应急避难场所，统筹安排所必需的交通、通信、供水、供电、排污、环保、物资储备等设备设施。</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eastAsia" w:ascii="楷体_GB2312" w:hAnsi="楷体_GB2312" w:eastAsia="楷体_GB2312" w:cs="楷体_GB2312"/>
          <w:color w:val="auto"/>
          <w:sz w:val="32"/>
          <w:szCs w:val="32"/>
          <w:highlight w:val="none"/>
          <w:lang w:val="en-US" w:eastAsia="zh-CN" w:bidi="zh-CN"/>
        </w:rPr>
      </w:pPr>
      <w:r>
        <w:rPr>
          <w:rFonts w:hint="eastAsia" w:ascii="楷体_GB2312" w:hAnsi="楷体_GB2312" w:eastAsia="楷体_GB2312" w:cs="楷体_GB2312"/>
          <w:color w:val="auto"/>
          <w:sz w:val="32"/>
          <w:szCs w:val="32"/>
          <w:highlight w:val="none"/>
          <w:lang w:val="en-US" w:eastAsia="zh-CN" w:bidi="zh-CN"/>
        </w:rPr>
        <w:t>7.7  宣传培训与演练</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区指挥部相关成员单位应有组织、有计划地向公众广泛开展突发地质灾害防治知识宣传教育活动，通过新闻媒体普及应急救援和防灾减灾科普知识，提高全社会防灾避险和自救互救能力。</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街道（镇）办事处（人民政府）应建立健全地质灾害应急管</w:t>
      </w:r>
      <w:r>
        <w:rPr>
          <w:rFonts w:hint="eastAsia" w:ascii="仿宋_GB2312" w:hAnsi="仿宋_GB2312" w:eastAsia="仿宋_GB2312" w:cs="仿宋_GB2312"/>
          <w:snapToGrid/>
          <w:spacing w:val="-6"/>
          <w:kern w:val="2"/>
          <w:sz w:val="32"/>
          <w:szCs w:val="32"/>
          <w:highlight w:val="none"/>
          <w:lang w:val="en-US" w:eastAsia="zh-CN" w:bidi="ar-SA"/>
        </w:rPr>
        <w:t>理培训制度，结合各自实际，组织应急管理人员、救援人员、志</w:t>
      </w:r>
      <w:r>
        <w:rPr>
          <w:rFonts w:hint="eastAsia" w:ascii="仿宋_GB2312" w:hAnsi="仿宋_GB2312" w:eastAsia="仿宋_GB2312" w:cs="仿宋_GB2312"/>
          <w:snapToGrid/>
          <w:spacing w:val="-7"/>
          <w:kern w:val="2"/>
          <w:sz w:val="32"/>
          <w:szCs w:val="32"/>
          <w:highlight w:val="none"/>
          <w:lang w:val="en-US" w:eastAsia="zh-CN" w:bidi="ar-SA"/>
        </w:rPr>
        <w:t>愿者等进行应急知识和技能培训，制定演练计划，组织开展地质灾害应急演练。</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黑体" w:hAnsi="黑体" w:eastAsia="黑体" w:cs="黑体"/>
          <w:snapToGrid/>
          <w:spacing w:val="-7"/>
          <w:kern w:val="2"/>
          <w:sz w:val="32"/>
          <w:szCs w:val="32"/>
          <w:highlight w:val="none"/>
          <w:lang w:val="en-US" w:eastAsia="zh-CN" w:bidi="ar-SA"/>
        </w:rPr>
      </w:pPr>
      <w:r>
        <w:rPr>
          <w:rFonts w:hint="eastAsia" w:ascii="黑体" w:hAnsi="黑体" w:eastAsia="黑体" w:cs="黑体"/>
          <w:snapToGrid/>
          <w:spacing w:val="-7"/>
          <w:kern w:val="2"/>
          <w:sz w:val="32"/>
          <w:szCs w:val="32"/>
          <w:highlight w:val="none"/>
          <w:lang w:val="en-US" w:eastAsia="zh-CN" w:bidi="ar-SA"/>
        </w:rPr>
        <w:t>8  责任与奖励</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eastAsia" w:ascii="楷体_GB2312" w:hAnsi="楷体_GB2312" w:eastAsia="楷体_GB2312" w:cs="楷体_GB2312"/>
          <w:color w:val="auto"/>
          <w:sz w:val="32"/>
          <w:szCs w:val="32"/>
          <w:highlight w:val="none"/>
          <w:lang w:val="en-US" w:eastAsia="zh-CN" w:bidi="zh-CN"/>
        </w:rPr>
      </w:pPr>
      <w:r>
        <w:rPr>
          <w:rFonts w:hint="eastAsia" w:ascii="楷体_GB2312" w:hAnsi="楷体_GB2312" w:eastAsia="楷体_GB2312" w:cs="楷体_GB2312"/>
          <w:color w:val="auto"/>
          <w:sz w:val="32"/>
          <w:szCs w:val="32"/>
          <w:highlight w:val="none"/>
          <w:lang w:val="en-US" w:eastAsia="zh-CN" w:bidi="zh-CN"/>
        </w:rPr>
        <w:t>8.1  奖励</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区政府对在地质灾害应急工作中贡献突出的单位和个人按照相关规定给予表扬奖励，对在应急救援工作中的伤亡人员按规定给予抚恤。</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eastAsia" w:ascii="楷体_GB2312" w:hAnsi="楷体_GB2312" w:eastAsia="楷体_GB2312" w:cs="楷体_GB2312"/>
          <w:color w:val="auto"/>
          <w:sz w:val="32"/>
          <w:szCs w:val="32"/>
          <w:highlight w:val="none"/>
          <w:lang w:val="en-US" w:eastAsia="zh-CN" w:bidi="zh-CN"/>
        </w:rPr>
      </w:pPr>
      <w:r>
        <w:rPr>
          <w:rFonts w:hint="eastAsia" w:ascii="楷体_GB2312" w:hAnsi="楷体_GB2312" w:eastAsia="楷体_GB2312" w:cs="楷体_GB2312"/>
          <w:color w:val="auto"/>
          <w:sz w:val="32"/>
          <w:szCs w:val="32"/>
          <w:highlight w:val="none"/>
          <w:lang w:val="en-US" w:eastAsia="zh-CN" w:bidi="zh-CN"/>
        </w:rPr>
        <w:t>8.2  责任追究</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对引发地质灾害的单位和个人的责任追究，按照《地质灾害防治条例》相关规定处理；对在地质灾害应急处置中失职、渎职</w:t>
      </w:r>
      <w:r>
        <w:rPr>
          <w:rFonts w:hint="eastAsia" w:ascii="仿宋_GB2312" w:hAnsi="仿宋_GB2312" w:eastAsia="仿宋_GB2312" w:cs="仿宋_GB2312"/>
          <w:snapToGrid/>
          <w:spacing w:val="0"/>
          <w:kern w:val="2"/>
          <w:sz w:val="32"/>
          <w:szCs w:val="32"/>
          <w:highlight w:val="none"/>
          <w:lang w:val="en-US" w:eastAsia="zh-CN" w:bidi="ar-SA"/>
        </w:rPr>
        <w:t>的有关人员，按国家有关法律法规规定追究责任；涉嫌犯罪的，</w:t>
      </w:r>
      <w:r>
        <w:rPr>
          <w:rFonts w:hint="eastAsia" w:ascii="仿宋_GB2312" w:hAnsi="仿宋_GB2312" w:eastAsia="仿宋_GB2312" w:cs="仿宋_GB2312"/>
          <w:snapToGrid/>
          <w:spacing w:val="-7"/>
          <w:kern w:val="2"/>
          <w:sz w:val="32"/>
          <w:szCs w:val="32"/>
          <w:highlight w:val="none"/>
          <w:lang w:val="en-US" w:eastAsia="zh-CN" w:bidi="ar-SA"/>
        </w:rPr>
        <w:t>依法移送司法机关处理。</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黑体" w:hAnsi="黑体" w:eastAsia="黑体" w:cs="黑体"/>
          <w:snapToGrid/>
          <w:spacing w:val="-7"/>
          <w:kern w:val="2"/>
          <w:sz w:val="32"/>
          <w:szCs w:val="32"/>
          <w:highlight w:val="none"/>
          <w:lang w:val="en-US" w:eastAsia="zh-CN" w:bidi="ar-SA"/>
        </w:rPr>
      </w:pPr>
      <w:r>
        <w:rPr>
          <w:rFonts w:hint="eastAsia" w:ascii="黑体" w:hAnsi="黑体" w:eastAsia="黑体" w:cs="黑体"/>
          <w:snapToGrid/>
          <w:spacing w:val="-7"/>
          <w:kern w:val="2"/>
          <w:sz w:val="32"/>
          <w:szCs w:val="32"/>
          <w:highlight w:val="none"/>
          <w:lang w:val="en-US" w:eastAsia="zh-CN" w:bidi="ar-SA"/>
        </w:rPr>
        <w:t>9  附则</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eastAsia" w:ascii="楷体_GB2312" w:hAnsi="楷体_GB2312" w:eastAsia="楷体_GB2312" w:cs="楷体_GB2312"/>
          <w:color w:val="auto"/>
          <w:sz w:val="32"/>
          <w:szCs w:val="32"/>
          <w:highlight w:val="none"/>
          <w:lang w:val="en-US" w:eastAsia="zh-CN" w:bidi="zh-CN"/>
        </w:rPr>
      </w:pPr>
      <w:r>
        <w:rPr>
          <w:rFonts w:hint="eastAsia" w:ascii="楷体_GB2312" w:hAnsi="楷体_GB2312" w:eastAsia="楷体_GB2312" w:cs="楷体_GB2312"/>
          <w:color w:val="auto"/>
          <w:sz w:val="32"/>
          <w:szCs w:val="32"/>
          <w:highlight w:val="none"/>
          <w:lang w:val="en-US" w:eastAsia="zh-CN" w:bidi="zh-CN"/>
        </w:rPr>
        <w:t>9.1  名词术语的定义与说明</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地质灾害危险区：指已经出现地质灾害迹象，明显可能发生地质灾害且可能造成人员伤亡和经济损失的区域或地段。</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次生灾害：指由地质灾害造成的工程结构、设施和自然环境破坏而引发的灾害，如水灾、爆炸及剧毒和强腐蚀性物质泄露等。</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生命线设施：指供水、供电、粮油、排水、燃料、热力系统及通信、交通等城市公用设施。</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直接经济损失：指地质灾害及次生灾害造成的物质破坏，包括建筑物和其他工程结构、设施、设备、物品、财物等破坏而引</w:t>
      </w:r>
      <w:r>
        <w:rPr>
          <w:rFonts w:hint="eastAsia" w:ascii="仿宋_GB2312" w:hAnsi="仿宋_GB2312" w:eastAsia="仿宋_GB2312" w:cs="仿宋_GB2312"/>
          <w:snapToGrid/>
          <w:spacing w:val="0"/>
          <w:kern w:val="2"/>
          <w:sz w:val="32"/>
          <w:szCs w:val="32"/>
          <w:highlight w:val="none"/>
          <w:lang w:val="en-US" w:eastAsia="zh-CN" w:bidi="ar-SA"/>
        </w:rPr>
        <w:t>起的经济损失，以重新修复所需费用计算。不包括非实物财产，</w:t>
      </w:r>
      <w:r>
        <w:rPr>
          <w:rFonts w:hint="eastAsia" w:ascii="仿宋_GB2312" w:hAnsi="仿宋_GB2312" w:eastAsia="仿宋_GB2312" w:cs="仿宋_GB2312"/>
          <w:snapToGrid/>
          <w:spacing w:val="-7"/>
          <w:kern w:val="2"/>
          <w:sz w:val="32"/>
          <w:szCs w:val="32"/>
          <w:highlight w:val="none"/>
          <w:lang w:val="en-US" w:eastAsia="zh-CN" w:bidi="ar-SA"/>
        </w:rPr>
        <w:t>如货币、有价证券等损失。</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eastAsia" w:ascii="楷体_GB2312" w:hAnsi="楷体_GB2312" w:eastAsia="楷体_GB2312" w:cs="楷体_GB2312"/>
          <w:color w:val="auto"/>
          <w:sz w:val="32"/>
          <w:szCs w:val="32"/>
          <w:highlight w:val="none"/>
          <w:lang w:val="en-US" w:eastAsia="zh-CN" w:bidi="zh-CN"/>
        </w:rPr>
      </w:pPr>
      <w:r>
        <w:rPr>
          <w:rFonts w:hint="eastAsia" w:ascii="楷体_GB2312" w:hAnsi="楷体_GB2312" w:eastAsia="楷体_GB2312" w:cs="楷体_GB2312"/>
          <w:color w:val="auto"/>
          <w:sz w:val="32"/>
          <w:szCs w:val="32"/>
          <w:highlight w:val="none"/>
          <w:lang w:val="en-US" w:eastAsia="zh-CN" w:bidi="zh-CN"/>
        </w:rPr>
        <w:t>9.2  以上、以下的含义</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本预案有关数量的表述中，“以上”含本数，“以下”不含本数。</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eastAsia" w:ascii="楷体_GB2312" w:hAnsi="楷体_GB2312" w:eastAsia="楷体_GB2312" w:cs="楷体_GB2312"/>
          <w:color w:val="auto"/>
          <w:sz w:val="32"/>
          <w:szCs w:val="32"/>
          <w:highlight w:val="none"/>
          <w:lang w:val="en-US" w:eastAsia="zh-CN" w:bidi="zh-CN"/>
        </w:rPr>
      </w:pPr>
      <w:r>
        <w:rPr>
          <w:rFonts w:hint="eastAsia" w:ascii="楷体_GB2312" w:hAnsi="楷体_GB2312" w:eastAsia="楷体_GB2312" w:cs="楷体_GB2312"/>
          <w:color w:val="auto"/>
          <w:sz w:val="32"/>
          <w:szCs w:val="32"/>
          <w:highlight w:val="none"/>
          <w:lang w:val="en-US" w:eastAsia="zh-CN" w:bidi="zh-CN"/>
        </w:rPr>
        <w:t>9.3  预案解释</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本预案由区应急局负责解释。</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0" w:firstLineChars="200"/>
        <w:jc w:val="both"/>
        <w:textAlignment w:val="baseline"/>
        <w:rPr>
          <w:rFonts w:hint="eastAsia" w:ascii="楷体_GB2312" w:hAnsi="楷体_GB2312" w:eastAsia="楷体_GB2312" w:cs="楷体_GB2312"/>
          <w:color w:val="auto"/>
          <w:sz w:val="32"/>
          <w:szCs w:val="32"/>
          <w:highlight w:val="none"/>
          <w:lang w:val="en-US" w:eastAsia="zh-CN" w:bidi="zh-CN"/>
        </w:rPr>
      </w:pPr>
      <w:r>
        <w:rPr>
          <w:rFonts w:hint="eastAsia" w:ascii="楷体_GB2312" w:hAnsi="楷体_GB2312" w:eastAsia="楷体_GB2312" w:cs="楷体_GB2312"/>
          <w:color w:val="auto"/>
          <w:sz w:val="32"/>
          <w:szCs w:val="32"/>
          <w:highlight w:val="none"/>
          <w:lang w:val="en-US" w:eastAsia="zh-CN" w:bidi="zh-CN"/>
        </w:rPr>
        <w:t>9.4  实施时间</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本预案自印发之日起实施。</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附件：1.莱芜区地质灾害应急救援指挥部各工作组及相关</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1836" w:firstLineChars="6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部门单位职责</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1530" w:firstLineChars="500"/>
        <w:jc w:val="both"/>
        <w:textAlignment w:val="baseline"/>
        <w:rPr>
          <w:rFonts w:ascii="仿宋" w:hAnsi="仿宋" w:eastAsia="仿宋" w:cs="仿宋"/>
          <w:sz w:val="31"/>
          <w:szCs w:val="31"/>
        </w:rPr>
      </w:pPr>
      <w:r>
        <w:rPr>
          <w:rFonts w:hint="eastAsia" w:ascii="仿宋_GB2312" w:hAnsi="仿宋_GB2312" w:eastAsia="仿宋_GB2312" w:cs="仿宋_GB2312"/>
          <w:snapToGrid/>
          <w:spacing w:val="-7"/>
          <w:kern w:val="2"/>
          <w:sz w:val="32"/>
          <w:szCs w:val="32"/>
          <w:highlight w:val="none"/>
          <w:lang w:val="en-US" w:eastAsia="zh-CN" w:bidi="ar-SA"/>
        </w:rPr>
        <w:t>2.地质灾害分级标准及分级响应表</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textAlignment w:val="baseline"/>
        <w:rPr>
          <w:rFonts w:ascii="黑体" w:hAnsi="黑体" w:eastAsia="黑体" w:cs="黑体"/>
          <w:b w:val="0"/>
          <w:bCs w:val="0"/>
          <w:spacing w:val="-16"/>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8" w:line="560" w:lineRule="exact"/>
        <w:textAlignment w:val="baseline"/>
        <w:rPr>
          <w:rFonts w:ascii="黑体" w:hAnsi="黑体" w:eastAsia="黑体" w:cs="黑体"/>
          <w:b w:val="0"/>
          <w:bCs w:val="0"/>
          <w:spacing w:val="-16"/>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8" w:line="560" w:lineRule="exact"/>
        <w:textAlignment w:val="baseline"/>
        <w:rPr>
          <w:rFonts w:ascii="黑体" w:hAnsi="黑体" w:eastAsia="黑体" w:cs="黑体"/>
          <w:b w:val="0"/>
          <w:bCs w:val="0"/>
          <w:spacing w:val="-16"/>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8" w:line="560" w:lineRule="exact"/>
        <w:textAlignment w:val="baseline"/>
        <w:rPr>
          <w:rFonts w:ascii="黑体" w:hAnsi="黑体" w:eastAsia="黑体" w:cs="黑体"/>
          <w:b w:val="0"/>
          <w:bCs w:val="0"/>
          <w:spacing w:val="-16"/>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8" w:line="560" w:lineRule="exact"/>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ascii="黑体" w:hAnsi="黑体" w:eastAsia="黑体" w:cs="黑体"/>
          <w:b w:val="0"/>
          <w:bCs w:val="0"/>
          <w:spacing w:val="-16"/>
          <w:sz w:val="32"/>
          <w:szCs w:val="32"/>
        </w:rPr>
        <w:t>附件1</w:t>
      </w:r>
    </w:p>
    <w:p>
      <w:pPr>
        <w:keepNext w:val="0"/>
        <w:keepLines w:val="0"/>
        <w:pageBreakBefore w:val="0"/>
        <w:widowControl/>
        <w:kinsoku w:val="0"/>
        <w:wordWrap/>
        <w:overflowPunct/>
        <w:topLinePunct w:val="0"/>
        <w:autoSpaceDE w:val="0"/>
        <w:autoSpaceDN w:val="0"/>
        <w:bidi w:val="0"/>
        <w:adjustRightInd w:val="0"/>
        <w:snapToGrid w:val="0"/>
        <w:spacing w:before="133" w:line="560" w:lineRule="exact"/>
        <w:jc w:val="center"/>
        <w:textAlignment w:val="baseline"/>
        <w:rPr>
          <w:rFonts w:hint="eastAsia" w:ascii="方正小标宋简体" w:hAnsi="方正小标宋简体" w:eastAsia="方正小标宋简体" w:cs="方正小标宋简体"/>
          <w:b w:val="0"/>
          <w:bCs w:val="0"/>
          <w:position w:val="18"/>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133"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position w:val="18"/>
          <w:sz w:val="44"/>
          <w:szCs w:val="44"/>
        </w:rPr>
        <w:t>莱芜区地质灾害应急救援指挥部</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Arial"/>
          <w:sz w:val="21"/>
        </w:rPr>
      </w:pPr>
      <w:r>
        <w:rPr>
          <w:rFonts w:hint="eastAsia" w:ascii="方正小标宋简体" w:hAnsi="方正小标宋简体" w:eastAsia="方正小标宋简体" w:cs="方正小标宋简体"/>
          <w:b w:val="0"/>
          <w:bCs w:val="0"/>
          <w:spacing w:val="2"/>
          <w:sz w:val="44"/>
          <w:szCs w:val="44"/>
        </w:rPr>
        <w:t>各工作组及相关部门单位职责</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12"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仿宋_GB2312" w:hAnsi="仿宋_GB2312" w:eastAsia="仿宋_GB2312" w:cs="仿宋_GB2312"/>
          <w:snapToGrid/>
          <w:spacing w:val="-7"/>
          <w:kern w:val="2"/>
          <w:sz w:val="32"/>
          <w:szCs w:val="32"/>
          <w:highlight w:val="none"/>
          <w:lang w:val="en-US" w:eastAsia="zh-CN" w:bidi="ar-SA"/>
        </w:rPr>
        <w:t>莱芜区地质灾害应急救援指挥部下设相应工作组，各工作组组成和相关部门单位职责如下：</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12" w:firstLineChars="200"/>
        <w:jc w:val="both"/>
        <w:textAlignment w:val="baseline"/>
        <w:rPr>
          <w:rFonts w:hint="eastAsia" w:ascii="黑体" w:hAnsi="黑体" w:eastAsia="黑体" w:cs="黑体"/>
          <w:snapToGrid/>
          <w:spacing w:val="-7"/>
          <w:kern w:val="2"/>
          <w:sz w:val="32"/>
          <w:szCs w:val="32"/>
          <w:highlight w:val="none"/>
          <w:lang w:val="en-US" w:eastAsia="zh-CN" w:bidi="ar-SA"/>
        </w:rPr>
      </w:pPr>
      <w:r>
        <w:rPr>
          <w:rFonts w:hint="eastAsia" w:ascii="黑体" w:hAnsi="黑体" w:eastAsia="黑体" w:cs="黑体"/>
          <w:snapToGrid/>
          <w:spacing w:val="-7"/>
          <w:kern w:val="2"/>
          <w:sz w:val="32"/>
          <w:szCs w:val="32"/>
          <w:highlight w:val="none"/>
          <w:lang w:val="en-US" w:eastAsia="zh-CN" w:bidi="ar-SA"/>
        </w:rPr>
        <w:t>一、各工作组组成及职责</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综合协调组：</w:t>
      </w:r>
      <w:r>
        <w:rPr>
          <w:rFonts w:hint="eastAsia" w:ascii="仿宋_GB2312" w:hAnsi="仿宋_GB2312" w:eastAsia="仿宋_GB2312" w:cs="仿宋_GB2312"/>
          <w:snapToGrid/>
          <w:spacing w:val="-7"/>
          <w:kern w:val="2"/>
          <w:sz w:val="32"/>
          <w:szCs w:val="32"/>
          <w:highlight w:val="none"/>
          <w:lang w:val="en-US" w:eastAsia="zh-CN" w:bidi="ar-SA"/>
        </w:rPr>
        <w:t>由区政府办公室牵头，区自然资源局、区应急局等部门单位及灾区街道（镇）办事处（人民政府）组成。承担组织协调工作；落实区指挥部议定事项；协调区指挥部成员单位和灾区街道（镇）办事处（人民政府）开展应急行动；协调调度汇总各工作组工作情况、灾害发生地抢险救援进展情况，报送灾情信息；协调做好前方指挥部在灾区活动的服务保障工作；承担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应急救援组：</w:t>
      </w:r>
      <w:r>
        <w:rPr>
          <w:rFonts w:hint="eastAsia" w:ascii="仿宋_GB2312" w:hAnsi="仿宋_GB2312" w:eastAsia="仿宋_GB2312" w:cs="仿宋_GB2312"/>
          <w:snapToGrid/>
          <w:spacing w:val="-7"/>
          <w:kern w:val="2"/>
          <w:sz w:val="32"/>
          <w:szCs w:val="32"/>
          <w:highlight w:val="none"/>
          <w:lang w:val="en-US" w:eastAsia="zh-CN" w:bidi="ar-SA"/>
        </w:rPr>
        <w:t>由区应急局牵头，区消防救援大队、各类专业救援队伍等部门单位组成，必要时由区人武部联络协调驻莱有关</w:t>
      </w:r>
      <w:r>
        <w:rPr>
          <w:rFonts w:hint="eastAsia" w:ascii="仿宋_GB2312" w:hAnsi="仿宋_GB2312" w:eastAsia="仿宋_GB2312" w:cs="仿宋_GB2312"/>
          <w:snapToGrid/>
          <w:spacing w:val="0"/>
          <w:kern w:val="2"/>
          <w:sz w:val="32"/>
          <w:szCs w:val="32"/>
          <w:highlight w:val="none"/>
          <w:lang w:val="en-US" w:eastAsia="zh-CN" w:bidi="ar-SA"/>
        </w:rPr>
        <w:t>部队、武警等协助抢险救灾。负责组织协调各类抢险救援队伍、</w:t>
      </w:r>
      <w:r>
        <w:rPr>
          <w:rFonts w:hint="eastAsia" w:ascii="仿宋_GB2312" w:hAnsi="仿宋_GB2312" w:eastAsia="仿宋_GB2312" w:cs="仿宋_GB2312"/>
          <w:snapToGrid/>
          <w:spacing w:val="-7"/>
          <w:kern w:val="2"/>
          <w:sz w:val="32"/>
          <w:szCs w:val="32"/>
          <w:highlight w:val="none"/>
          <w:lang w:val="en-US" w:eastAsia="zh-CN" w:bidi="ar-SA"/>
        </w:rPr>
        <w:t>救援装备开展抢险救援，搜救被困群众；落实应急处置和应急救援相关措施；紧急转移和安置受地质灾害隐患威胁的群众；承担区指挥部交办的其他工作。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应急专家组：</w:t>
      </w:r>
      <w:r>
        <w:rPr>
          <w:rFonts w:hint="eastAsia" w:ascii="仿宋_GB2312" w:hAnsi="仿宋_GB2312" w:eastAsia="仿宋_GB2312" w:cs="仿宋_GB2312"/>
          <w:snapToGrid/>
          <w:spacing w:val="-7"/>
          <w:kern w:val="2"/>
          <w:sz w:val="32"/>
          <w:szCs w:val="32"/>
          <w:highlight w:val="none"/>
          <w:lang w:val="en-US" w:eastAsia="zh-CN" w:bidi="ar-SA"/>
        </w:rPr>
        <w:t>由区自然资源局牵头，区发展改革局、区住房城乡建设局、区交通运输局、区水务局、区卫生健康局、区应急局、市生态环境局莱芜分局、市气象局莱芜气象服务处等部门单位专家构成。负责灾害性质、级别、危害程度等认定，分析、研</w:t>
      </w:r>
      <w:r>
        <w:rPr>
          <w:rFonts w:hint="eastAsia" w:ascii="仿宋_GB2312" w:hAnsi="仿宋_GB2312" w:eastAsia="仿宋_GB2312" w:cs="仿宋_GB2312"/>
          <w:snapToGrid/>
          <w:spacing w:val="0"/>
          <w:kern w:val="2"/>
          <w:sz w:val="32"/>
          <w:szCs w:val="32"/>
          <w:highlight w:val="none"/>
          <w:lang w:val="en-US" w:eastAsia="zh-CN" w:bidi="ar-SA"/>
        </w:rPr>
        <w:t>判灾害动态趋势，组织专家对灾区环境实施监测、监控与评价，</w:t>
      </w:r>
      <w:r>
        <w:rPr>
          <w:rFonts w:hint="eastAsia" w:ascii="仿宋_GB2312" w:hAnsi="仿宋_GB2312" w:eastAsia="仿宋_GB2312" w:cs="仿宋_GB2312"/>
          <w:snapToGrid/>
          <w:spacing w:val="-7"/>
          <w:kern w:val="2"/>
          <w:sz w:val="32"/>
          <w:szCs w:val="32"/>
          <w:highlight w:val="none"/>
          <w:lang w:val="en-US" w:eastAsia="zh-CN" w:bidi="ar-SA"/>
        </w:rPr>
        <w:t>防范发生环境污染次生灾害，为地质灾害处置提供决策依据和建议，协助开展应急救援；承担区指挥部交办的其他工作。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医疗卫生组：</w:t>
      </w:r>
      <w:r>
        <w:rPr>
          <w:rFonts w:hint="eastAsia" w:ascii="仿宋_GB2312" w:hAnsi="仿宋_GB2312" w:eastAsia="仿宋_GB2312" w:cs="仿宋_GB2312"/>
          <w:snapToGrid/>
          <w:spacing w:val="-7"/>
          <w:kern w:val="2"/>
          <w:sz w:val="32"/>
          <w:szCs w:val="32"/>
          <w:highlight w:val="none"/>
          <w:lang w:val="en-US" w:eastAsia="zh-CN" w:bidi="ar-SA"/>
        </w:rPr>
        <w:t>由区卫生健康局牵头，区民政局、区农业农村局、市生态环境局莱芜分局、灾区街道（镇）社区卫生服务中心（卫生院）等部门单位组成。负责医疗救援队伍和医疗器械、药品等物资调集和救治受伤人员；检查、监测灾区饮用水源，防范和控制传染病爆发；做好灾后卫生防疫，开展灾后心理援助；负责开展对灾区动物尸体的无害化处理、饲养场所的消毒，防止人畜共患传染病和动物疫情发生；组织协调殡仪馆，做好遇难人员遗体火化工作；承担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社会治安组：</w:t>
      </w:r>
      <w:r>
        <w:rPr>
          <w:rFonts w:hint="eastAsia" w:ascii="仿宋_GB2312" w:hAnsi="仿宋_GB2312" w:eastAsia="仿宋_GB2312" w:cs="仿宋_GB2312"/>
          <w:snapToGrid/>
          <w:spacing w:val="-7"/>
          <w:kern w:val="2"/>
          <w:sz w:val="32"/>
          <w:szCs w:val="32"/>
          <w:highlight w:val="none"/>
          <w:lang w:val="en-US" w:eastAsia="zh-CN" w:bidi="ar-SA"/>
        </w:rPr>
        <w:t>由市公安局莱芜区分局牵头，灾区街道（镇）办事处（人民政府）和派出所等部门单位组成。负责加强灾区社会治安管理和安全保卫；防范和打击各种违法犯罪活动，妥善处置群体性事件；维护灾区道路交通秩序，保障救灾车辆畅通；承担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宣传报道组：</w:t>
      </w:r>
      <w:r>
        <w:rPr>
          <w:rFonts w:hint="eastAsia" w:ascii="仿宋_GB2312" w:hAnsi="仿宋_GB2312" w:eastAsia="仿宋_GB2312" w:cs="仿宋_GB2312"/>
          <w:snapToGrid/>
          <w:spacing w:val="-7"/>
          <w:kern w:val="2"/>
          <w:sz w:val="32"/>
          <w:szCs w:val="32"/>
          <w:highlight w:val="none"/>
          <w:lang w:val="en-US" w:eastAsia="zh-CN" w:bidi="ar-SA"/>
        </w:rPr>
        <w:t>由区委宣传部牵头，区文化和旅游局等部门单位组成。负责对外协调、信息报送、新闻宣传、舆论监督；发布</w:t>
      </w:r>
      <w:r>
        <w:rPr>
          <w:rFonts w:hint="eastAsia" w:ascii="仿宋_GB2312" w:hAnsi="仿宋_GB2312" w:eastAsia="仿宋_GB2312" w:cs="仿宋_GB2312"/>
          <w:snapToGrid/>
          <w:spacing w:val="0"/>
          <w:kern w:val="2"/>
          <w:sz w:val="32"/>
          <w:szCs w:val="32"/>
          <w:highlight w:val="none"/>
          <w:lang w:val="en-US" w:eastAsia="zh-CN" w:bidi="ar-SA"/>
        </w:rPr>
        <w:t>险情、灾情等相关信息；承办新闻发布会，有效引导社会舆论，</w:t>
      </w:r>
      <w:r>
        <w:rPr>
          <w:rFonts w:hint="eastAsia" w:ascii="仿宋_GB2312" w:hAnsi="仿宋_GB2312" w:eastAsia="仿宋_GB2312" w:cs="仿宋_GB2312"/>
          <w:snapToGrid/>
          <w:spacing w:val="-7"/>
          <w:kern w:val="2"/>
          <w:sz w:val="32"/>
          <w:szCs w:val="32"/>
          <w:highlight w:val="none"/>
          <w:lang w:val="en-US" w:eastAsia="zh-CN" w:bidi="ar-SA"/>
        </w:rPr>
        <w:t>做好舆情应对；承担区指挥部交办的其他工作。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后勤保障组：</w:t>
      </w:r>
      <w:r>
        <w:rPr>
          <w:rFonts w:hint="eastAsia" w:ascii="仿宋_GB2312" w:hAnsi="仿宋_GB2312" w:eastAsia="仿宋_GB2312" w:cs="仿宋_GB2312"/>
          <w:snapToGrid/>
          <w:spacing w:val="-7"/>
          <w:kern w:val="2"/>
          <w:sz w:val="32"/>
          <w:szCs w:val="32"/>
          <w:highlight w:val="none"/>
          <w:lang w:val="en-US" w:eastAsia="zh-CN" w:bidi="ar-SA"/>
        </w:rPr>
        <w:t>由区应急局牵头，区发展改革局、区教育和体育局、区工业和信息化局、区财政局、区交通运输局、区商务综合服务中心、移动莱芜分公司、联通莱芜分公司、电信莱芜分公司、国网莱芜供电公司等部门单位及灾区街道（镇）办事处（人民政府）组成。负责协调交通、电力、通信等设施的抢险修复工作；负责救援人员、受灾困难群众的基本生活物资保障；开放应急避难场所，安置受灾群众；组织协调救灾物资的调拨和紧急配</w:t>
      </w:r>
      <w:r>
        <w:rPr>
          <w:rFonts w:hint="eastAsia" w:ascii="仿宋_GB2312" w:hAnsi="仿宋_GB2312" w:eastAsia="仿宋_GB2312" w:cs="仿宋_GB2312"/>
          <w:snapToGrid/>
          <w:spacing w:val="0"/>
          <w:kern w:val="2"/>
          <w:sz w:val="32"/>
          <w:szCs w:val="32"/>
          <w:highlight w:val="none"/>
          <w:lang w:val="en-US" w:eastAsia="zh-CN" w:bidi="ar-SA"/>
        </w:rPr>
        <w:t>送，保障供应；协调救灾资金，管理分配救灾款物并监督使用；</w:t>
      </w:r>
      <w:r>
        <w:rPr>
          <w:rFonts w:hint="eastAsia" w:ascii="仿宋_GB2312" w:hAnsi="仿宋_GB2312" w:eastAsia="仿宋_GB2312" w:cs="仿宋_GB2312"/>
          <w:snapToGrid/>
          <w:spacing w:val="-7"/>
          <w:kern w:val="2"/>
          <w:sz w:val="32"/>
          <w:szCs w:val="32"/>
          <w:highlight w:val="none"/>
          <w:lang w:val="en-US" w:eastAsia="zh-CN" w:bidi="ar-SA"/>
        </w:rPr>
        <w:t>适时组织学校复课，维持正常教学秩序；承担区指挥部交办的其他工作。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灾情评估组：</w:t>
      </w:r>
      <w:r>
        <w:rPr>
          <w:rFonts w:hint="eastAsia" w:ascii="仿宋_GB2312" w:hAnsi="仿宋_GB2312" w:eastAsia="仿宋_GB2312" w:cs="仿宋_GB2312"/>
          <w:snapToGrid/>
          <w:spacing w:val="0"/>
          <w:kern w:val="2"/>
          <w:sz w:val="32"/>
          <w:szCs w:val="32"/>
          <w:highlight w:val="none"/>
          <w:lang w:val="en-US" w:eastAsia="zh-CN" w:bidi="ar-SA"/>
        </w:rPr>
        <w:t>由区应急局牵头，区发展改革局、区司法局、区财政局、区自然资源局、区住房城乡建设局、区交通运输局、</w:t>
      </w:r>
      <w:r>
        <w:rPr>
          <w:rFonts w:hint="eastAsia" w:ascii="仿宋_GB2312" w:hAnsi="仿宋_GB2312" w:eastAsia="仿宋_GB2312" w:cs="仿宋_GB2312"/>
          <w:snapToGrid/>
          <w:spacing w:val="-7"/>
          <w:kern w:val="2"/>
          <w:sz w:val="32"/>
          <w:szCs w:val="32"/>
          <w:highlight w:val="none"/>
          <w:lang w:val="en-US" w:eastAsia="zh-CN" w:bidi="ar-SA"/>
        </w:rPr>
        <w:t>区水务局、区农业农村局、区金融事业发展中心、区园林绿化和</w:t>
      </w:r>
      <w:r>
        <w:rPr>
          <w:rFonts w:hint="eastAsia" w:ascii="仿宋_GB2312" w:hAnsi="仿宋_GB2312" w:eastAsia="仿宋_GB2312" w:cs="仿宋_GB2312"/>
          <w:snapToGrid/>
          <w:spacing w:val="10"/>
          <w:kern w:val="2"/>
          <w:sz w:val="32"/>
          <w:szCs w:val="32"/>
          <w:highlight w:val="none"/>
          <w:lang w:val="en-US" w:eastAsia="zh-CN" w:bidi="ar-SA"/>
        </w:rPr>
        <w:t>林业发展中心、区商务综合服务中心等部门单位及灾区街道</w:t>
      </w:r>
      <w:r>
        <w:rPr>
          <w:rFonts w:hint="eastAsia" w:ascii="仿宋_GB2312" w:hAnsi="仿宋_GB2312" w:eastAsia="仿宋_GB2312" w:cs="仿宋_GB2312"/>
          <w:snapToGrid/>
          <w:spacing w:val="-7"/>
          <w:kern w:val="2"/>
          <w:sz w:val="32"/>
          <w:szCs w:val="32"/>
          <w:highlight w:val="none"/>
          <w:lang w:val="en-US" w:eastAsia="zh-CN" w:bidi="ar-SA"/>
        </w:rPr>
        <w:t>（镇）办事处（人民政府）组成。负责调查核查人员伤亡和财产</w:t>
      </w:r>
      <w:r>
        <w:rPr>
          <w:rFonts w:hint="eastAsia" w:ascii="仿宋_GB2312" w:hAnsi="仿宋_GB2312" w:eastAsia="仿宋_GB2312" w:cs="仿宋_GB2312"/>
          <w:snapToGrid/>
          <w:spacing w:val="0"/>
          <w:kern w:val="2"/>
          <w:sz w:val="32"/>
          <w:szCs w:val="32"/>
          <w:highlight w:val="none"/>
          <w:lang w:val="en-US" w:eastAsia="zh-CN" w:bidi="ar-SA"/>
        </w:rPr>
        <w:t>损失情况，评估房屋、道路、桥梁等设施造成的直接经济损失；</w:t>
      </w:r>
      <w:r>
        <w:rPr>
          <w:rFonts w:hint="eastAsia" w:ascii="仿宋_GB2312" w:hAnsi="仿宋_GB2312" w:eastAsia="仿宋_GB2312" w:cs="仿宋_GB2312"/>
          <w:snapToGrid/>
          <w:spacing w:val="-7"/>
          <w:kern w:val="2"/>
          <w:sz w:val="32"/>
          <w:szCs w:val="32"/>
          <w:highlight w:val="none"/>
          <w:lang w:val="en-US" w:eastAsia="zh-CN" w:bidi="ar-SA"/>
        </w:rPr>
        <w:t>承担区指挥部交办的其他工作。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12" w:firstLineChars="200"/>
        <w:jc w:val="both"/>
        <w:textAlignment w:val="baseline"/>
        <w:rPr>
          <w:rFonts w:hint="eastAsia" w:ascii="黑体" w:hAnsi="黑体" w:eastAsia="黑体" w:cs="黑体"/>
          <w:snapToGrid/>
          <w:spacing w:val="-7"/>
          <w:kern w:val="2"/>
          <w:sz w:val="32"/>
          <w:szCs w:val="32"/>
          <w:highlight w:val="none"/>
          <w:lang w:val="en-US" w:eastAsia="zh-CN" w:bidi="ar-SA"/>
        </w:rPr>
      </w:pPr>
      <w:r>
        <w:rPr>
          <w:rFonts w:hint="eastAsia" w:ascii="黑体" w:hAnsi="黑体" w:eastAsia="黑体" w:cs="黑体"/>
          <w:snapToGrid/>
          <w:spacing w:val="-7"/>
          <w:kern w:val="2"/>
          <w:sz w:val="32"/>
          <w:szCs w:val="32"/>
          <w:highlight w:val="none"/>
          <w:lang w:val="en-US" w:eastAsia="zh-CN" w:bidi="ar-SA"/>
        </w:rPr>
        <w:t>二、相关部门单位职责</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7"/>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区委宣传部：</w:t>
      </w:r>
      <w:r>
        <w:rPr>
          <w:rFonts w:hint="eastAsia" w:ascii="仿宋_GB2312" w:hAnsi="仿宋_GB2312" w:eastAsia="仿宋_GB2312" w:cs="仿宋_GB2312"/>
          <w:snapToGrid/>
          <w:spacing w:val="-7"/>
          <w:kern w:val="2"/>
          <w:sz w:val="32"/>
          <w:szCs w:val="32"/>
          <w:highlight w:val="none"/>
          <w:lang w:val="en-US" w:eastAsia="zh-CN" w:bidi="ar-SA"/>
        </w:rPr>
        <w:t>负责组织协调突发地质灾害事件新闻宣传、舆情监测、舆论引导、信息发布和舆情处置工作；完成区指挥部交办的其他工作。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0"/>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区人武部：</w:t>
      </w:r>
      <w:r>
        <w:rPr>
          <w:rFonts w:hint="eastAsia" w:ascii="仿宋_GB2312" w:hAnsi="仿宋_GB2312" w:eastAsia="仿宋_GB2312" w:cs="仿宋_GB2312"/>
          <w:snapToGrid/>
          <w:spacing w:val="-20"/>
          <w:kern w:val="2"/>
          <w:sz w:val="32"/>
          <w:szCs w:val="32"/>
          <w:highlight w:val="none"/>
          <w:lang w:val="en-US" w:eastAsia="zh-CN" w:bidi="ar-SA"/>
        </w:rPr>
        <w:t>负责联络协调驻莱有关部队、武警、组织指挥民</w:t>
      </w:r>
      <w:r>
        <w:rPr>
          <w:rFonts w:hint="eastAsia" w:ascii="仿宋_GB2312" w:hAnsi="仿宋_GB2312" w:eastAsia="仿宋_GB2312" w:cs="仿宋_GB2312"/>
          <w:snapToGrid/>
          <w:spacing w:val="-9"/>
          <w:kern w:val="2"/>
          <w:sz w:val="32"/>
          <w:szCs w:val="32"/>
          <w:highlight w:val="none"/>
          <w:lang w:val="en-US" w:eastAsia="zh-CN" w:bidi="ar-SA"/>
        </w:rPr>
        <w:t>兵参加抢险救灾工作；协助地方政府转移和救援群众；完成区指</w:t>
      </w:r>
      <w:r>
        <w:rPr>
          <w:rFonts w:hint="eastAsia" w:ascii="仿宋_GB2312" w:hAnsi="仿宋_GB2312" w:eastAsia="仿宋_GB2312" w:cs="仿宋_GB2312"/>
          <w:snapToGrid/>
          <w:spacing w:val="0"/>
          <w:kern w:val="2"/>
          <w:sz w:val="32"/>
          <w:szCs w:val="32"/>
          <w:highlight w:val="none"/>
          <w:lang w:val="en-US" w:eastAsia="zh-CN" w:bidi="ar-SA"/>
        </w:rPr>
        <w:t>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0"/>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区发展改革局：</w:t>
      </w:r>
      <w:r>
        <w:rPr>
          <w:rFonts w:hint="eastAsia" w:ascii="仿宋_GB2312" w:hAnsi="仿宋_GB2312" w:eastAsia="仿宋_GB2312" w:cs="仿宋_GB2312"/>
          <w:snapToGrid/>
          <w:spacing w:val="-20"/>
          <w:kern w:val="2"/>
          <w:sz w:val="32"/>
          <w:szCs w:val="32"/>
          <w:highlight w:val="none"/>
          <w:lang w:val="en-US" w:eastAsia="zh-CN" w:bidi="ar-SA"/>
        </w:rPr>
        <w:t>负责积极争取上级防灾减灾救灾投资方面的</w:t>
      </w:r>
      <w:r>
        <w:rPr>
          <w:rFonts w:hint="eastAsia" w:ascii="仿宋_GB2312" w:hAnsi="仿宋_GB2312" w:eastAsia="仿宋_GB2312" w:cs="仿宋_GB2312"/>
          <w:snapToGrid/>
          <w:spacing w:val="-9"/>
          <w:kern w:val="2"/>
          <w:sz w:val="32"/>
          <w:szCs w:val="32"/>
          <w:highlight w:val="none"/>
          <w:lang w:val="en-US" w:eastAsia="zh-CN" w:bidi="ar-SA"/>
        </w:rPr>
        <w:t>支持；统筹协调全区能源保障工作；做好煤、电、油、气以及其它重要物资的紧急调度和交通运输综合协调；完成区指挥部交办</w:t>
      </w:r>
      <w:r>
        <w:rPr>
          <w:rFonts w:hint="eastAsia" w:ascii="仿宋_GB2312" w:hAnsi="仿宋_GB2312" w:eastAsia="仿宋_GB2312" w:cs="仿宋_GB2312"/>
          <w:snapToGrid/>
          <w:spacing w:val="0"/>
          <w:kern w:val="2"/>
          <w:sz w:val="32"/>
          <w:szCs w:val="32"/>
          <w:highlight w:val="none"/>
          <w:lang w:val="en-US" w:eastAsia="zh-CN" w:bidi="ar-SA"/>
        </w:rPr>
        <w:t>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0"/>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区教育和体育局：</w:t>
      </w:r>
      <w:r>
        <w:rPr>
          <w:rFonts w:hint="eastAsia" w:ascii="仿宋_GB2312" w:hAnsi="仿宋_GB2312" w:eastAsia="仿宋_GB2312" w:cs="仿宋_GB2312"/>
          <w:snapToGrid/>
          <w:spacing w:val="0"/>
          <w:kern w:val="2"/>
          <w:sz w:val="32"/>
          <w:szCs w:val="32"/>
          <w:highlight w:val="none"/>
          <w:lang w:val="en-US" w:eastAsia="zh-CN" w:bidi="ar-SA"/>
        </w:rPr>
        <w:t>负责组织遭受破坏的学校学生转移安置；</w:t>
      </w:r>
      <w:r>
        <w:rPr>
          <w:rFonts w:hint="eastAsia" w:ascii="仿宋_GB2312" w:hAnsi="仿宋_GB2312" w:eastAsia="仿宋_GB2312" w:cs="仿宋_GB2312"/>
          <w:snapToGrid/>
          <w:spacing w:val="-9"/>
          <w:kern w:val="2"/>
          <w:sz w:val="32"/>
          <w:szCs w:val="32"/>
          <w:highlight w:val="none"/>
          <w:lang w:val="en-US" w:eastAsia="zh-CN" w:bidi="ar-SA"/>
        </w:rPr>
        <w:t>做好因灾损毁校舍的修复和教育、教学资源调配，妥善解决灾区</w:t>
      </w:r>
      <w:r>
        <w:rPr>
          <w:rFonts w:hint="eastAsia" w:ascii="仿宋_GB2312" w:hAnsi="仿宋_GB2312" w:eastAsia="仿宋_GB2312" w:cs="仿宋_GB2312"/>
          <w:snapToGrid/>
          <w:spacing w:val="0"/>
          <w:kern w:val="2"/>
          <w:sz w:val="32"/>
          <w:szCs w:val="32"/>
          <w:highlight w:val="none"/>
          <w:lang w:val="en-US" w:eastAsia="zh-CN" w:bidi="ar-SA"/>
        </w:rPr>
        <w:t>学生就学问题；完成区指挥部交办的其他工作。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0"/>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区工业和信息化局：</w:t>
      </w:r>
      <w:r>
        <w:rPr>
          <w:rFonts w:hint="eastAsia" w:ascii="仿宋_GB2312" w:hAnsi="仿宋_GB2312" w:eastAsia="仿宋_GB2312" w:cs="仿宋_GB2312"/>
          <w:snapToGrid/>
          <w:spacing w:val="-20"/>
          <w:kern w:val="2"/>
          <w:sz w:val="32"/>
          <w:szCs w:val="32"/>
          <w:highlight w:val="none"/>
          <w:lang w:val="en-US" w:eastAsia="zh-CN" w:bidi="ar-SA"/>
        </w:rPr>
        <w:t>负责组织、协调本地区电信运营企业</w:t>
      </w:r>
      <w:r>
        <w:rPr>
          <w:rFonts w:hint="eastAsia" w:ascii="仿宋_GB2312" w:hAnsi="仿宋_GB2312" w:eastAsia="仿宋_GB2312" w:cs="仿宋_GB2312"/>
          <w:snapToGrid/>
          <w:spacing w:val="-9"/>
          <w:kern w:val="2"/>
          <w:sz w:val="32"/>
          <w:szCs w:val="32"/>
          <w:highlight w:val="none"/>
          <w:lang w:val="en-US" w:eastAsia="zh-CN" w:bidi="ar-SA"/>
        </w:rPr>
        <w:t>恢复</w:t>
      </w:r>
      <w:r>
        <w:rPr>
          <w:rFonts w:hint="eastAsia" w:ascii="仿宋_GB2312" w:hAnsi="仿宋_GB2312" w:eastAsia="仿宋_GB2312" w:cs="仿宋_GB2312"/>
          <w:snapToGrid/>
          <w:spacing w:val="0"/>
          <w:kern w:val="2"/>
          <w:sz w:val="32"/>
          <w:szCs w:val="32"/>
          <w:highlight w:val="none"/>
          <w:lang w:val="en-US" w:eastAsia="zh-CN" w:bidi="ar-SA"/>
        </w:rPr>
        <w:t>受到破坏的通讯设施；完成区指挥部交办的其他工作。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0"/>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区民政局：</w:t>
      </w:r>
      <w:r>
        <w:rPr>
          <w:rFonts w:hint="eastAsia" w:ascii="仿宋_GB2312" w:hAnsi="仿宋_GB2312" w:eastAsia="仿宋_GB2312" w:cs="仿宋_GB2312"/>
          <w:snapToGrid/>
          <w:spacing w:val="0"/>
          <w:kern w:val="2"/>
          <w:sz w:val="32"/>
          <w:szCs w:val="32"/>
          <w:highlight w:val="none"/>
          <w:lang w:val="en-US" w:eastAsia="zh-CN" w:bidi="ar-SA"/>
        </w:rPr>
        <w:t>负责指导各类社会组织规范开展救灾捐赠工作；负责遇难人员丧葬事宜；完成区指挥部交办的其他工作。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0"/>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区司法局：</w:t>
      </w:r>
      <w:r>
        <w:rPr>
          <w:rFonts w:hint="eastAsia" w:ascii="仿宋_GB2312" w:hAnsi="仿宋_GB2312" w:eastAsia="仿宋_GB2312" w:cs="仿宋_GB2312"/>
          <w:snapToGrid/>
          <w:spacing w:val="-20"/>
          <w:kern w:val="2"/>
          <w:sz w:val="32"/>
          <w:szCs w:val="32"/>
          <w:highlight w:val="none"/>
          <w:lang w:val="en-US" w:eastAsia="zh-CN" w:bidi="ar-SA"/>
        </w:rPr>
        <w:t>负责做好全区司法行政系统基本建设中可能引发</w:t>
      </w:r>
      <w:r>
        <w:rPr>
          <w:rFonts w:hint="eastAsia" w:ascii="仿宋_GB2312" w:hAnsi="仿宋_GB2312" w:eastAsia="仿宋_GB2312" w:cs="仿宋_GB2312"/>
          <w:snapToGrid/>
          <w:spacing w:val="-9"/>
          <w:kern w:val="2"/>
          <w:sz w:val="32"/>
          <w:szCs w:val="32"/>
          <w:highlight w:val="none"/>
          <w:lang w:val="en-US" w:eastAsia="zh-CN" w:bidi="ar-SA"/>
        </w:rPr>
        <w:t>的地质灾害隐患点调查、排查、监测预警、治理工作；组织指导</w:t>
      </w:r>
      <w:r>
        <w:rPr>
          <w:rFonts w:hint="eastAsia" w:ascii="仿宋_GB2312" w:hAnsi="仿宋_GB2312" w:eastAsia="仿宋_GB2312" w:cs="仿宋_GB2312"/>
          <w:snapToGrid/>
          <w:spacing w:val="0"/>
          <w:kern w:val="2"/>
          <w:sz w:val="32"/>
          <w:szCs w:val="32"/>
          <w:highlight w:val="none"/>
          <w:lang w:val="en-US" w:eastAsia="zh-CN" w:bidi="ar-SA"/>
        </w:rPr>
        <w:t>直属单位周边地质灾害防治；完成区指挥部交办的其他工作。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0"/>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区财政局：</w:t>
      </w:r>
      <w:r>
        <w:rPr>
          <w:rFonts w:hint="eastAsia" w:ascii="仿宋_GB2312" w:hAnsi="仿宋_GB2312" w:eastAsia="仿宋_GB2312" w:cs="仿宋_GB2312"/>
          <w:snapToGrid/>
          <w:spacing w:val="-20"/>
          <w:kern w:val="2"/>
          <w:sz w:val="32"/>
          <w:szCs w:val="32"/>
          <w:highlight w:val="none"/>
          <w:lang w:val="en-US" w:eastAsia="zh-CN" w:bidi="ar-SA"/>
        </w:rPr>
        <w:t>负责区级地质灾害应急救援相关资金保障；完成</w:t>
      </w:r>
      <w:r>
        <w:rPr>
          <w:rFonts w:hint="eastAsia" w:ascii="仿宋_GB2312" w:hAnsi="仿宋_GB2312" w:eastAsia="仿宋_GB2312" w:cs="仿宋_GB2312"/>
          <w:snapToGrid/>
          <w:spacing w:val="0"/>
          <w:kern w:val="2"/>
          <w:sz w:val="32"/>
          <w:szCs w:val="32"/>
          <w:highlight w:val="none"/>
          <w:lang w:val="en-US" w:eastAsia="zh-CN" w:bidi="ar-SA"/>
        </w:rPr>
        <w:t>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0"/>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区自然资源局：</w:t>
      </w:r>
      <w:r>
        <w:rPr>
          <w:rFonts w:hint="eastAsia" w:ascii="仿宋_GB2312" w:hAnsi="仿宋_GB2312" w:eastAsia="仿宋_GB2312" w:cs="仿宋_GB2312"/>
          <w:snapToGrid/>
          <w:spacing w:val="-20"/>
          <w:kern w:val="2"/>
          <w:sz w:val="32"/>
          <w:szCs w:val="32"/>
          <w:highlight w:val="none"/>
          <w:lang w:val="en-US" w:eastAsia="zh-CN" w:bidi="ar-SA"/>
        </w:rPr>
        <w:t>负责组织指导地质灾害应急调查评价、专业</w:t>
      </w:r>
      <w:r>
        <w:rPr>
          <w:rFonts w:hint="eastAsia" w:ascii="仿宋_GB2312" w:hAnsi="仿宋_GB2312" w:eastAsia="仿宋_GB2312" w:cs="仿宋_GB2312"/>
          <w:snapToGrid/>
          <w:spacing w:val="-9"/>
          <w:kern w:val="2"/>
          <w:sz w:val="32"/>
          <w:szCs w:val="32"/>
          <w:highlight w:val="none"/>
          <w:lang w:val="en-US" w:eastAsia="zh-CN" w:bidi="ar-SA"/>
        </w:rPr>
        <w:t>监测，做好地质灾害应急救援的技术支撑工作；完成区指挥部交</w:t>
      </w:r>
      <w:r>
        <w:rPr>
          <w:rFonts w:hint="eastAsia" w:ascii="仿宋_GB2312" w:hAnsi="仿宋_GB2312" w:eastAsia="仿宋_GB2312" w:cs="仿宋_GB2312"/>
          <w:snapToGrid/>
          <w:spacing w:val="0"/>
          <w:kern w:val="2"/>
          <w:sz w:val="32"/>
          <w:szCs w:val="32"/>
          <w:highlight w:val="none"/>
          <w:lang w:val="en-US" w:eastAsia="zh-CN" w:bidi="ar-SA"/>
        </w:rPr>
        <w:t>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0"/>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区住房城乡建设局：</w:t>
      </w:r>
      <w:r>
        <w:rPr>
          <w:rFonts w:hint="eastAsia" w:ascii="仿宋_GB2312" w:hAnsi="仿宋_GB2312" w:eastAsia="仿宋_GB2312" w:cs="仿宋_GB2312"/>
          <w:snapToGrid/>
          <w:spacing w:val="-20"/>
          <w:kern w:val="2"/>
          <w:sz w:val="32"/>
          <w:szCs w:val="32"/>
          <w:highlight w:val="none"/>
          <w:lang w:val="en-US" w:eastAsia="zh-CN" w:bidi="ar-SA"/>
        </w:rPr>
        <w:t>负责指导灾区被毁坏的市政供热、供气</w:t>
      </w:r>
      <w:r>
        <w:rPr>
          <w:rFonts w:hint="eastAsia" w:ascii="仿宋_GB2312" w:hAnsi="仿宋_GB2312" w:eastAsia="仿宋_GB2312" w:cs="仿宋_GB2312"/>
          <w:snapToGrid/>
          <w:spacing w:val="-9"/>
          <w:kern w:val="2"/>
          <w:sz w:val="32"/>
          <w:szCs w:val="32"/>
          <w:highlight w:val="none"/>
          <w:lang w:val="en-US" w:eastAsia="zh-CN" w:bidi="ar-SA"/>
        </w:rPr>
        <w:t>等基础设施的抢险、排险和恢复；指导开展因灾损毁房屋的安全</w:t>
      </w:r>
      <w:r>
        <w:rPr>
          <w:rFonts w:hint="eastAsia" w:ascii="仿宋_GB2312" w:hAnsi="仿宋_GB2312" w:eastAsia="仿宋_GB2312" w:cs="仿宋_GB2312"/>
          <w:snapToGrid/>
          <w:spacing w:val="0"/>
          <w:kern w:val="2"/>
          <w:sz w:val="32"/>
          <w:szCs w:val="32"/>
          <w:highlight w:val="none"/>
          <w:lang w:val="en-US" w:eastAsia="zh-CN" w:bidi="ar-SA"/>
        </w:rPr>
        <w:t>性鉴定；完成区指挥部交办的其他工作。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0"/>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区交通运输局：</w:t>
      </w:r>
      <w:r>
        <w:rPr>
          <w:rFonts w:hint="eastAsia" w:ascii="仿宋_GB2312" w:hAnsi="仿宋_GB2312" w:eastAsia="仿宋_GB2312" w:cs="仿宋_GB2312"/>
          <w:snapToGrid/>
          <w:spacing w:val="-20"/>
          <w:kern w:val="2"/>
          <w:sz w:val="32"/>
          <w:szCs w:val="32"/>
          <w:highlight w:val="none"/>
          <w:lang w:val="en-US" w:eastAsia="zh-CN" w:bidi="ar-SA"/>
        </w:rPr>
        <w:t>负责所辖交通干线安全，组织抢修损毁的交</w:t>
      </w:r>
      <w:r>
        <w:rPr>
          <w:rFonts w:hint="eastAsia" w:ascii="仿宋_GB2312" w:hAnsi="仿宋_GB2312" w:eastAsia="仿宋_GB2312" w:cs="仿宋_GB2312"/>
          <w:snapToGrid/>
          <w:spacing w:val="-9"/>
          <w:kern w:val="2"/>
          <w:sz w:val="32"/>
          <w:szCs w:val="32"/>
          <w:highlight w:val="none"/>
          <w:lang w:val="en-US" w:eastAsia="zh-CN" w:bidi="ar-SA"/>
        </w:rPr>
        <w:t>通设施，保证救灾物资运输和道路畅通；完成区指挥部交办的其</w:t>
      </w:r>
      <w:r>
        <w:rPr>
          <w:rFonts w:hint="eastAsia" w:ascii="仿宋_GB2312" w:hAnsi="仿宋_GB2312" w:eastAsia="仿宋_GB2312" w:cs="仿宋_GB2312"/>
          <w:snapToGrid/>
          <w:spacing w:val="0"/>
          <w:kern w:val="2"/>
          <w:sz w:val="32"/>
          <w:szCs w:val="32"/>
          <w:highlight w:val="none"/>
          <w:lang w:val="en-US" w:eastAsia="zh-CN" w:bidi="ar-SA"/>
        </w:rPr>
        <w:t>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0"/>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区水务局：</w:t>
      </w:r>
      <w:r>
        <w:rPr>
          <w:rFonts w:hint="eastAsia" w:ascii="仿宋_GB2312" w:hAnsi="仿宋_GB2312" w:eastAsia="仿宋_GB2312" w:cs="仿宋_GB2312"/>
          <w:snapToGrid/>
          <w:spacing w:val="-20"/>
          <w:kern w:val="2"/>
          <w:sz w:val="32"/>
          <w:szCs w:val="32"/>
          <w:highlight w:val="none"/>
          <w:lang w:val="en-US" w:eastAsia="zh-CN" w:bidi="ar-SA"/>
        </w:rPr>
        <w:t>负责组织抢修受损毁的供水、水利等设施，保障</w:t>
      </w:r>
      <w:r>
        <w:rPr>
          <w:rFonts w:hint="eastAsia" w:ascii="仿宋_GB2312" w:hAnsi="仿宋_GB2312" w:eastAsia="仿宋_GB2312" w:cs="仿宋_GB2312"/>
          <w:snapToGrid/>
          <w:spacing w:val="-9"/>
          <w:kern w:val="2"/>
          <w:sz w:val="32"/>
          <w:szCs w:val="32"/>
          <w:highlight w:val="none"/>
          <w:lang w:val="en-US" w:eastAsia="zh-CN" w:bidi="ar-SA"/>
        </w:rPr>
        <w:t>正常运行；承担水情监测以及地质灾害引发次生洪涝灾害处置的</w:t>
      </w:r>
      <w:r>
        <w:rPr>
          <w:rFonts w:hint="eastAsia" w:ascii="仿宋_GB2312" w:hAnsi="仿宋_GB2312" w:eastAsia="仿宋_GB2312" w:cs="仿宋_GB2312"/>
          <w:snapToGrid/>
          <w:spacing w:val="0"/>
          <w:kern w:val="2"/>
          <w:sz w:val="32"/>
          <w:szCs w:val="32"/>
          <w:highlight w:val="none"/>
          <w:lang w:val="en-US" w:eastAsia="zh-CN" w:bidi="ar-SA"/>
        </w:rPr>
        <w:t>技术支撑；完成区指挥部交办的其他工作。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0"/>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区农业农村局：</w:t>
      </w:r>
      <w:r>
        <w:rPr>
          <w:rFonts w:hint="eastAsia" w:ascii="仿宋_GB2312" w:hAnsi="仿宋_GB2312" w:eastAsia="仿宋_GB2312" w:cs="仿宋_GB2312"/>
          <w:snapToGrid/>
          <w:spacing w:val="-20"/>
          <w:kern w:val="2"/>
          <w:sz w:val="32"/>
          <w:szCs w:val="32"/>
          <w:highlight w:val="none"/>
          <w:lang w:val="en-US" w:eastAsia="zh-CN" w:bidi="ar-SA"/>
        </w:rPr>
        <w:t>负责对地质灾害造成的农业资源及农业生态</w:t>
      </w:r>
      <w:r>
        <w:rPr>
          <w:rFonts w:hint="eastAsia" w:ascii="仿宋_GB2312" w:hAnsi="仿宋_GB2312" w:eastAsia="仿宋_GB2312" w:cs="仿宋_GB2312"/>
          <w:snapToGrid/>
          <w:spacing w:val="0"/>
          <w:kern w:val="2"/>
          <w:sz w:val="32"/>
          <w:szCs w:val="32"/>
          <w:highlight w:val="none"/>
          <w:lang w:val="en-US" w:eastAsia="zh-CN" w:bidi="ar-SA"/>
        </w:rPr>
        <w:t>环境损害进行调查评估；组织指导灾区动物疫病的预防控制工</w:t>
      </w:r>
      <w:r>
        <w:rPr>
          <w:rFonts w:hint="eastAsia" w:ascii="仿宋_GB2312" w:hAnsi="仿宋_GB2312" w:eastAsia="仿宋_GB2312" w:cs="仿宋_GB2312"/>
          <w:snapToGrid/>
          <w:spacing w:val="-9"/>
          <w:kern w:val="2"/>
          <w:sz w:val="32"/>
          <w:szCs w:val="32"/>
          <w:highlight w:val="none"/>
          <w:lang w:val="en-US" w:eastAsia="zh-CN" w:bidi="ar-SA"/>
        </w:rPr>
        <w:t>作，加强动物疫情的监测，防止和控制动物疫病的暴发流行；完</w:t>
      </w:r>
      <w:r>
        <w:rPr>
          <w:rFonts w:hint="eastAsia" w:ascii="仿宋_GB2312" w:hAnsi="仿宋_GB2312" w:eastAsia="仿宋_GB2312" w:cs="仿宋_GB2312"/>
          <w:snapToGrid/>
          <w:spacing w:val="0"/>
          <w:kern w:val="2"/>
          <w:sz w:val="32"/>
          <w:szCs w:val="32"/>
          <w:highlight w:val="none"/>
          <w:lang w:val="en-US" w:eastAsia="zh-CN" w:bidi="ar-SA"/>
        </w:rPr>
        <w:t>成区指挥部交办的其他工作。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0"/>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区文化和旅游局：</w:t>
      </w:r>
      <w:r>
        <w:rPr>
          <w:rFonts w:hint="eastAsia" w:ascii="仿宋_GB2312" w:hAnsi="仿宋_GB2312" w:eastAsia="仿宋_GB2312" w:cs="仿宋_GB2312"/>
          <w:snapToGrid/>
          <w:spacing w:val="-20"/>
          <w:kern w:val="2"/>
          <w:sz w:val="32"/>
          <w:szCs w:val="32"/>
          <w:highlight w:val="none"/>
          <w:lang w:val="en-US" w:eastAsia="zh-CN" w:bidi="ar-SA"/>
        </w:rPr>
        <w:t>负责协调旅游服务设施的所有权单位和主</w:t>
      </w:r>
      <w:r>
        <w:rPr>
          <w:rFonts w:hint="eastAsia" w:ascii="仿宋_GB2312" w:hAnsi="仿宋_GB2312" w:eastAsia="仿宋_GB2312" w:cs="仿宋_GB2312"/>
          <w:snapToGrid/>
          <w:spacing w:val="-9"/>
          <w:kern w:val="2"/>
          <w:sz w:val="32"/>
          <w:szCs w:val="32"/>
          <w:highlight w:val="none"/>
          <w:lang w:val="en-US" w:eastAsia="zh-CN" w:bidi="ar-SA"/>
        </w:rPr>
        <w:t>管部门做好保护和排险，协调修复被毁的旅游基础设施和旅游服务设施；做好舆情引导，加强正面信息的宣传报道；在广播电视传输覆盖设施遭到严重损毁且短时间难以修复的极端情况下，确保至少一种广播电视传输覆盖手段有效畅通；完成区指</w:t>
      </w:r>
      <w:r>
        <w:rPr>
          <w:rFonts w:hint="eastAsia" w:ascii="仿宋_GB2312" w:hAnsi="仿宋_GB2312" w:eastAsia="仿宋_GB2312" w:cs="仿宋_GB2312"/>
          <w:snapToGrid/>
          <w:spacing w:val="0"/>
          <w:kern w:val="2"/>
          <w:sz w:val="32"/>
          <w:szCs w:val="32"/>
          <w:highlight w:val="none"/>
          <w:lang w:val="en-US" w:eastAsia="zh-CN" w:bidi="ar-SA"/>
        </w:rPr>
        <w:t>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9"/>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区卫生健康局：</w:t>
      </w:r>
      <w:r>
        <w:rPr>
          <w:rFonts w:hint="eastAsia" w:ascii="仿宋_GB2312" w:hAnsi="仿宋_GB2312" w:eastAsia="仿宋_GB2312" w:cs="仿宋_GB2312"/>
          <w:snapToGrid/>
          <w:spacing w:val="-20"/>
          <w:kern w:val="2"/>
          <w:sz w:val="32"/>
          <w:szCs w:val="32"/>
          <w:highlight w:val="none"/>
          <w:lang w:val="en-US" w:eastAsia="zh-CN" w:bidi="ar-SA"/>
        </w:rPr>
        <w:t>负责组织医疗卫生机构积极开展伤病员救治</w:t>
      </w:r>
      <w:r>
        <w:rPr>
          <w:rFonts w:hint="eastAsia" w:ascii="仿宋_GB2312" w:hAnsi="仿宋_GB2312" w:eastAsia="仿宋_GB2312" w:cs="仿宋_GB2312"/>
          <w:snapToGrid/>
          <w:spacing w:val="-9"/>
          <w:kern w:val="2"/>
          <w:sz w:val="32"/>
          <w:szCs w:val="32"/>
          <w:highlight w:val="none"/>
          <w:lang w:val="en-US" w:eastAsia="zh-CN" w:bidi="ar-SA"/>
        </w:rPr>
        <w:t>工作；对灾区可能发生的传染病进行预警，并采取有效措施防止</w:t>
      </w:r>
      <w:r>
        <w:rPr>
          <w:rFonts w:hint="eastAsia" w:ascii="仿宋_GB2312" w:hAnsi="仿宋_GB2312" w:eastAsia="仿宋_GB2312" w:cs="仿宋_GB2312"/>
          <w:snapToGrid/>
          <w:spacing w:val="-5"/>
          <w:kern w:val="2"/>
          <w:sz w:val="32"/>
          <w:szCs w:val="32"/>
          <w:highlight w:val="none"/>
          <w:lang w:val="en-US" w:eastAsia="zh-CN" w:bidi="ar-SA"/>
        </w:rPr>
        <w:t>和控制灾后传染病暴发流行；对灾区食品安全开展风险监测和评</w:t>
      </w:r>
      <w:r>
        <w:rPr>
          <w:rFonts w:hint="eastAsia" w:ascii="仿宋_GB2312" w:hAnsi="仿宋_GB2312" w:eastAsia="仿宋_GB2312" w:cs="仿宋_GB2312"/>
          <w:snapToGrid/>
          <w:spacing w:val="-9"/>
          <w:kern w:val="2"/>
          <w:sz w:val="32"/>
          <w:szCs w:val="32"/>
          <w:highlight w:val="none"/>
          <w:lang w:val="en-US" w:eastAsia="zh-CN" w:bidi="ar-SA"/>
        </w:rPr>
        <w:t>估、预警，对灾区饮用水安全进行监督检查，保障人民群众身体健康，并根据需要对基层卫生部门提供技术支持和业务指导；完成区指挥部交办的其他工作。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9"/>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区应急局：</w:t>
      </w:r>
      <w:r>
        <w:rPr>
          <w:rFonts w:hint="eastAsia" w:ascii="仿宋_GB2312" w:hAnsi="仿宋_GB2312" w:eastAsia="仿宋_GB2312" w:cs="仿宋_GB2312"/>
          <w:snapToGrid/>
          <w:spacing w:val="-9"/>
          <w:kern w:val="2"/>
          <w:sz w:val="32"/>
          <w:szCs w:val="32"/>
          <w:highlight w:val="none"/>
          <w:lang w:val="en-US" w:eastAsia="zh-CN" w:bidi="ar-SA"/>
        </w:rPr>
        <w:t>负责组织协调地质灾害应急救援工作，协调消防救援队伍、社会力量等参与抢险救灾；协助灾区街道</w:t>
      </w:r>
      <w:r>
        <w:rPr>
          <w:rFonts w:hint="eastAsia" w:ascii="仿宋_GB2312" w:hAnsi="仿宋_GB2312" w:eastAsia="仿宋_GB2312" w:cs="仿宋_GB2312"/>
          <w:snapToGrid/>
          <w:spacing w:val="-7"/>
          <w:kern w:val="2"/>
          <w:sz w:val="32"/>
          <w:szCs w:val="32"/>
          <w:highlight w:val="none"/>
          <w:lang w:val="en-US" w:eastAsia="zh-CN" w:bidi="ar-SA"/>
        </w:rPr>
        <w:t>（镇）办事处（人民政府）</w:t>
      </w:r>
      <w:r>
        <w:rPr>
          <w:rFonts w:hint="eastAsia" w:ascii="仿宋_GB2312" w:hAnsi="仿宋_GB2312" w:eastAsia="仿宋_GB2312" w:cs="仿宋_GB2312"/>
          <w:snapToGrid/>
          <w:spacing w:val="-9"/>
          <w:kern w:val="2"/>
          <w:sz w:val="32"/>
          <w:szCs w:val="32"/>
          <w:highlight w:val="none"/>
          <w:lang w:val="en-US" w:eastAsia="zh-CN" w:bidi="ar-SA"/>
        </w:rPr>
        <w:t>开展救援工作，会同有关方面组织协调紧急转移安置受灾群众；组织协调重要救灾物资的调拨和紧急配送；承担区救灾款物的管理、分配和监督使用工作；协调指导地质灾害调查评估；负责地震监测，及时通报与地质灾害相关的震情；完成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9"/>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区金融事业发展中心：</w:t>
      </w:r>
      <w:r>
        <w:rPr>
          <w:rFonts w:hint="eastAsia" w:ascii="仿宋_GB2312" w:hAnsi="仿宋_GB2312" w:eastAsia="仿宋_GB2312" w:cs="仿宋_GB2312"/>
          <w:snapToGrid/>
          <w:spacing w:val="-9"/>
          <w:kern w:val="2"/>
          <w:sz w:val="32"/>
          <w:szCs w:val="32"/>
          <w:highlight w:val="none"/>
          <w:lang w:val="en-US" w:eastAsia="zh-CN" w:bidi="ar-SA"/>
        </w:rPr>
        <w:t>负责协调指导各保险公司对地质灾害保险产品的开发以及灾后保险查勘、定损和赔偿工作；完成区指挥部交办的其他工作。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9"/>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区园林绿化和林业发展中心：</w:t>
      </w:r>
      <w:r>
        <w:rPr>
          <w:rFonts w:hint="eastAsia" w:ascii="仿宋_GB2312" w:hAnsi="仿宋_GB2312" w:eastAsia="仿宋_GB2312" w:cs="仿宋_GB2312"/>
          <w:snapToGrid/>
          <w:spacing w:val="-20"/>
          <w:kern w:val="2"/>
          <w:sz w:val="32"/>
          <w:szCs w:val="32"/>
          <w:highlight w:val="none"/>
          <w:lang w:val="en-US" w:eastAsia="zh-CN" w:bidi="ar-SA"/>
        </w:rPr>
        <w:t>负责做好所辖公园景区的地质</w:t>
      </w:r>
      <w:r>
        <w:rPr>
          <w:rFonts w:hint="eastAsia" w:ascii="仿宋_GB2312" w:hAnsi="仿宋_GB2312" w:eastAsia="仿宋_GB2312" w:cs="仿宋_GB2312"/>
          <w:snapToGrid/>
          <w:spacing w:val="-9"/>
          <w:kern w:val="2"/>
          <w:sz w:val="32"/>
          <w:szCs w:val="32"/>
          <w:highlight w:val="none"/>
          <w:lang w:val="en-US" w:eastAsia="zh-CN" w:bidi="ar-SA"/>
        </w:rPr>
        <w:t>灾害隐患点调查、排查、监测预警、治理工作；做好全区林场的地质灾害隐患点调查、排查、监测预警；完成区指挥部交办的其他工作。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9"/>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区商务综合服务中心：</w:t>
      </w:r>
      <w:r>
        <w:rPr>
          <w:rFonts w:hint="eastAsia" w:ascii="仿宋_GB2312" w:hAnsi="仿宋_GB2312" w:eastAsia="仿宋_GB2312" w:cs="仿宋_GB2312"/>
          <w:snapToGrid/>
          <w:spacing w:val="-9"/>
          <w:kern w:val="2"/>
          <w:sz w:val="32"/>
          <w:szCs w:val="32"/>
          <w:highlight w:val="none"/>
          <w:lang w:val="en-US" w:eastAsia="zh-CN" w:bidi="ar-SA"/>
        </w:rPr>
        <w:t>负责组织协调部分生活必需品的应急供应；完成区指挥部交办的其他工作。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9"/>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市公安局莱芜区分局：</w:t>
      </w:r>
      <w:r>
        <w:rPr>
          <w:rFonts w:hint="eastAsia" w:ascii="仿宋_GB2312" w:hAnsi="仿宋_GB2312" w:eastAsia="仿宋_GB2312" w:cs="仿宋_GB2312"/>
          <w:snapToGrid/>
          <w:spacing w:val="-9"/>
          <w:kern w:val="2"/>
          <w:sz w:val="32"/>
          <w:szCs w:val="32"/>
          <w:highlight w:val="none"/>
          <w:lang w:val="en-US" w:eastAsia="zh-CN" w:bidi="ar-SA"/>
        </w:rPr>
        <w:t>负责维护灾区社会治安秩序，依法打击蓄意扩大传播地质灾害险情等违法犯罪活动；疏导交通，必要</w:t>
      </w:r>
      <w:r>
        <w:rPr>
          <w:rFonts w:hint="eastAsia" w:ascii="仿宋_GB2312" w:hAnsi="仿宋_GB2312" w:eastAsia="仿宋_GB2312" w:cs="仿宋_GB2312"/>
          <w:snapToGrid/>
          <w:spacing w:val="-6"/>
          <w:kern w:val="2"/>
          <w:sz w:val="32"/>
          <w:szCs w:val="32"/>
          <w:highlight w:val="none"/>
          <w:lang w:val="en-US" w:eastAsia="zh-CN" w:bidi="ar-SA"/>
        </w:rPr>
        <w:t>时对灾区和通往灾区的道路实行交通管制，保证抢险救灾工作顺</w:t>
      </w:r>
      <w:r>
        <w:rPr>
          <w:rFonts w:hint="eastAsia" w:ascii="仿宋_GB2312" w:hAnsi="仿宋_GB2312" w:eastAsia="仿宋_GB2312" w:cs="仿宋_GB2312"/>
          <w:snapToGrid/>
          <w:spacing w:val="-9"/>
          <w:kern w:val="2"/>
          <w:sz w:val="32"/>
          <w:szCs w:val="32"/>
          <w:highlight w:val="none"/>
          <w:lang w:val="en-US" w:eastAsia="zh-CN" w:bidi="ar-SA"/>
        </w:rPr>
        <w:t>利进行；指导涉灾群体性事件处置；完成区指挥部交办的其他工作。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9"/>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市生态环境局莱芜分局：</w:t>
      </w:r>
      <w:r>
        <w:rPr>
          <w:rFonts w:hint="eastAsia" w:ascii="仿宋_GB2312" w:hAnsi="仿宋_GB2312" w:eastAsia="仿宋_GB2312" w:cs="仿宋_GB2312"/>
          <w:snapToGrid/>
          <w:spacing w:val="0"/>
          <w:kern w:val="2"/>
          <w:sz w:val="32"/>
          <w:szCs w:val="32"/>
          <w:highlight w:val="none"/>
          <w:lang w:val="en-US" w:eastAsia="zh-CN" w:bidi="ar-SA"/>
        </w:rPr>
        <w:t>负责加强灾区大气、饮用水、土</w:t>
      </w:r>
      <w:r>
        <w:rPr>
          <w:rFonts w:hint="eastAsia" w:ascii="仿宋_GB2312" w:hAnsi="仿宋_GB2312" w:eastAsia="仿宋_GB2312" w:cs="仿宋_GB2312"/>
          <w:snapToGrid/>
          <w:spacing w:val="-9"/>
          <w:kern w:val="2"/>
          <w:sz w:val="32"/>
          <w:szCs w:val="32"/>
          <w:highlight w:val="none"/>
          <w:lang w:val="en-US" w:eastAsia="zh-CN" w:bidi="ar-SA"/>
        </w:rPr>
        <w:t>壤、辐射环境质量等生态环境应急监测；指导处置地质灾害造成的突发环境事件等次生环境灾害；做好灾区环境风险隐患排查工作；完成区指挥部交办的其他工作。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9"/>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区消防救援大队：</w:t>
      </w:r>
      <w:r>
        <w:rPr>
          <w:rFonts w:hint="eastAsia" w:ascii="仿宋_GB2312" w:hAnsi="仿宋_GB2312" w:eastAsia="仿宋_GB2312" w:cs="仿宋_GB2312"/>
          <w:snapToGrid/>
          <w:spacing w:val="-9"/>
          <w:kern w:val="2"/>
          <w:sz w:val="32"/>
          <w:szCs w:val="32"/>
          <w:highlight w:val="none"/>
          <w:lang w:val="en-US" w:eastAsia="zh-CN" w:bidi="ar-SA"/>
        </w:rPr>
        <w:t>负责组织指挥消防救援队伍参加应急抢险救援工作，协助政府转移和救援群众，完成区指挥部交办的其他工作。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9"/>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市气象局莱芜气象服务处：</w:t>
      </w:r>
      <w:r>
        <w:rPr>
          <w:rFonts w:hint="eastAsia" w:ascii="仿宋_GB2312" w:hAnsi="仿宋_GB2312" w:eastAsia="仿宋_GB2312" w:cs="仿宋_GB2312"/>
          <w:snapToGrid/>
          <w:spacing w:val="-9"/>
          <w:kern w:val="2"/>
          <w:sz w:val="32"/>
          <w:szCs w:val="32"/>
          <w:highlight w:val="none"/>
          <w:lang w:val="en-US" w:eastAsia="zh-CN" w:bidi="ar-SA"/>
        </w:rPr>
        <w:t>负责组织提供天气预报和地质灾害预警预报所需的气象资料信息，组织对灾区的气象条件进行监测预报；完成区指挥部交办的其他工作。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9"/>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移动莱芜分公司、联通莱芜分公司、电信莱芜分公司：</w:t>
      </w:r>
      <w:r>
        <w:rPr>
          <w:rFonts w:hint="eastAsia" w:ascii="仿宋_GB2312" w:hAnsi="仿宋_GB2312" w:eastAsia="仿宋_GB2312" w:cs="仿宋_GB2312"/>
          <w:snapToGrid/>
          <w:spacing w:val="-9"/>
          <w:kern w:val="2"/>
          <w:sz w:val="32"/>
          <w:szCs w:val="32"/>
          <w:highlight w:val="none"/>
          <w:lang w:val="en-US" w:eastAsia="zh-CN" w:bidi="ar-SA"/>
        </w:rPr>
        <w:t>负责应急通信及其他重要通信保障工作；完成区指挥部交办的其他工作。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spacing w:val="-9"/>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zh-CN"/>
        </w:rPr>
        <w:t>国网莱芜供电公司：</w:t>
      </w:r>
      <w:r>
        <w:rPr>
          <w:rFonts w:hint="eastAsia" w:ascii="仿宋_GB2312" w:hAnsi="仿宋_GB2312" w:eastAsia="仿宋_GB2312" w:cs="仿宋_GB2312"/>
          <w:snapToGrid/>
          <w:spacing w:val="-9"/>
          <w:kern w:val="2"/>
          <w:sz w:val="32"/>
          <w:szCs w:val="32"/>
          <w:highlight w:val="none"/>
          <w:lang w:val="en-US" w:eastAsia="zh-CN" w:bidi="ar-SA"/>
        </w:rPr>
        <w:t>负责所辖电力设施的抢修恢复工作，协同做好突发灾害处置现场的电力供应；完成区指挥部交办的其他工作。</w:t>
      </w:r>
    </w:p>
    <w:p>
      <w:pPr>
        <w:keepNext w:val="0"/>
        <w:keepLines w:val="0"/>
        <w:pageBreakBefore w:val="0"/>
        <w:widowControl/>
        <w:kinsoku w:val="0"/>
        <w:wordWrap/>
        <w:overflowPunct/>
        <w:topLinePunct w:val="0"/>
        <w:autoSpaceDE w:val="0"/>
        <w:autoSpaceDN w:val="0"/>
        <w:bidi w:val="0"/>
        <w:adjustRightInd w:val="0"/>
        <w:snapToGrid w:val="0"/>
        <w:spacing w:before="104" w:line="560" w:lineRule="exact"/>
        <w:textAlignment w:val="baseline"/>
        <w:rPr>
          <w:rFonts w:hint="eastAsia" w:ascii="仿宋_GB2312" w:hAnsi="仿宋_GB2312" w:eastAsia="仿宋_GB2312" w:cs="仿宋_GB2312"/>
          <w:snapToGrid/>
          <w:spacing w:val="-9"/>
          <w:kern w:val="2"/>
          <w:sz w:val="32"/>
          <w:szCs w:val="32"/>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104" w:line="560" w:lineRule="exact"/>
        <w:textAlignment w:val="baseline"/>
        <w:rPr>
          <w:rFonts w:hint="eastAsia" w:ascii="仿宋_GB2312" w:hAnsi="仿宋_GB2312" w:eastAsia="仿宋_GB2312" w:cs="仿宋_GB2312"/>
          <w:snapToGrid/>
          <w:spacing w:val="-9"/>
          <w:kern w:val="2"/>
          <w:sz w:val="32"/>
          <w:szCs w:val="32"/>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104" w:line="560" w:lineRule="exact"/>
        <w:textAlignment w:val="baseline"/>
        <w:rPr>
          <w:rFonts w:hint="eastAsia" w:ascii="仿宋_GB2312" w:hAnsi="仿宋_GB2312" w:eastAsia="仿宋_GB2312" w:cs="仿宋_GB2312"/>
          <w:snapToGrid/>
          <w:spacing w:val="-9"/>
          <w:kern w:val="2"/>
          <w:sz w:val="32"/>
          <w:szCs w:val="32"/>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104" w:line="560" w:lineRule="exact"/>
        <w:textAlignment w:val="baseline"/>
        <w:rPr>
          <w:rFonts w:ascii="黑体" w:hAnsi="黑体" w:eastAsia="黑体" w:cs="黑体"/>
          <w:b w:val="0"/>
          <w:bCs w:val="0"/>
          <w:spacing w:val="23"/>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4" w:line="560" w:lineRule="exact"/>
        <w:jc w:val="both"/>
        <w:textAlignment w:val="baseline"/>
        <w:rPr>
          <w:rFonts w:ascii="黑体" w:hAnsi="黑体" w:eastAsia="黑体" w:cs="黑体"/>
          <w:b w:val="0"/>
          <w:bCs w:val="0"/>
          <w:sz w:val="32"/>
          <w:szCs w:val="32"/>
        </w:rPr>
      </w:pPr>
      <w:r>
        <w:rPr>
          <w:rFonts w:ascii="黑体" w:hAnsi="黑体" w:eastAsia="黑体" w:cs="黑体"/>
          <w:b w:val="0"/>
          <w:bCs w:val="0"/>
          <w:spacing w:val="23"/>
          <w:sz w:val="32"/>
          <w:szCs w:val="32"/>
        </w:rPr>
        <w:t>附件2</w:t>
      </w:r>
    </w:p>
    <w:p>
      <w:pPr>
        <w:spacing w:before="191" w:line="220" w:lineRule="auto"/>
        <w:jc w:val="center"/>
        <w:rPr>
          <w:rFonts w:hint="eastAsia" w:ascii="方正小标宋简体" w:hAnsi="方正小标宋简体" w:eastAsia="方正小标宋简体" w:cs="方正小标宋简体"/>
          <w:b w:val="0"/>
          <w:bCs w:val="0"/>
          <w:spacing w:val="-8"/>
          <w:sz w:val="44"/>
          <w:szCs w:val="44"/>
        </w:rPr>
      </w:pPr>
    </w:p>
    <w:p>
      <w:pPr>
        <w:spacing w:before="191" w:line="22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8"/>
          <w:sz w:val="44"/>
          <w:szCs w:val="44"/>
        </w:rPr>
        <w:t>地质灾害分级标准及分级响应表</w:t>
      </w:r>
    </w:p>
    <w:p>
      <w:pPr>
        <w:rPr>
          <w:rFonts w:hint="eastAsia" w:ascii="仿宋" w:hAnsi="仿宋" w:eastAsia="仿宋" w:cs="仿宋"/>
          <w:sz w:val="32"/>
          <w:szCs w:val="32"/>
        </w:rPr>
      </w:pPr>
    </w:p>
    <w:p>
      <w:pPr>
        <w:spacing w:line="57" w:lineRule="exact"/>
      </w:pPr>
    </w:p>
    <w:tbl>
      <w:tblPr>
        <w:tblStyle w:val="12"/>
        <w:tblW w:w="8689" w:type="dxa"/>
        <w:jc w:val="center"/>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1388"/>
        <w:gridCol w:w="1668"/>
        <w:gridCol w:w="1588"/>
        <w:gridCol w:w="1558"/>
        <w:gridCol w:w="1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4" w:hRule="atLeast"/>
          <w:jc w:val="center"/>
        </w:trPr>
        <w:tc>
          <w:tcPr>
            <w:tcW w:w="1194" w:type="dxa"/>
            <w:vMerge w:val="restart"/>
            <w:tcBorders>
              <w:bottom w:val="nil"/>
            </w:tcBorders>
            <w:vAlign w:val="top"/>
          </w:tcPr>
          <w:p>
            <w:pPr>
              <w:spacing w:line="370" w:lineRule="auto"/>
              <w:rPr>
                <w:rFonts w:ascii="Arial"/>
                <w:sz w:val="21"/>
              </w:rPr>
            </w:pPr>
          </w:p>
          <w:p>
            <w:pPr>
              <w:spacing w:before="69" w:line="220" w:lineRule="auto"/>
              <w:ind w:left="167"/>
              <w:rPr>
                <w:rFonts w:ascii="宋体" w:hAnsi="宋体" w:eastAsia="宋体" w:cs="宋体"/>
                <w:sz w:val="21"/>
                <w:szCs w:val="21"/>
              </w:rPr>
            </w:pPr>
            <w:r>
              <w:rPr>
                <w:rFonts w:ascii="宋体" w:hAnsi="宋体" w:eastAsia="宋体" w:cs="宋体"/>
                <w:b/>
                <w:bCs/>
                <w:spacing w:val="-4"/>
                <w:sz w:val="21"/>
                <w:szCs w:val="21"/>
              </w:rPr>
              <w:t>地质灾害</w:t>
            </w:r>
          </w:p>
          <w:p>
            <w:pPr>
              <w:spacing w:before="59" w:line="219" w:lineRule="auto"/>
              <w:ind w:left="277"/>
              <w:rPr>
                <w:rFonts w:ascii="宋体" w:hAnsi="宋体" w:eastAsia="宋体" w:cs="宋体"/>
                <w:sz w:val="21"/>
                <w:szCs w:val="21"/>
              </w:rPr>
            </w:pPr>
            <w:r>
              <w:rPr>
                <w:rFonts w:ascii="宋体" w:hAnsi="宋体" w:eastAsia="宋体" w:cs="宋体"/>
                <w:b/>
                <w:bCs/>
                <w:spacing w:val="-8"/>
                <w:sz w:val="21"/>
                <w:szCs w:val="21"/>
              </w:rPr>
              <w:t>等</w:t>
            </w:r>
            <w:r>
              <w:rPr>
                <w:rFonts w:ascii="宋体" w:hAnsi="宋体" w:eastAsia="宋体" w:cs="宋体"/>
                <w:spacing w:val="6"/>
                <w:sz w:val="21"/>
                <w:szCs w:val="21"/>
              </w:rPr>
              <w:t xml:space="preserve">  </w:t>
            </w:r>
            <w:r>
              <w:rPr>
                <w:rFonts w:ascii="宋体" w:hAnsi="宋体" w:eastAsia="宋体" w:cs="宋体"/>
                <w:b/>
                <w:bCs/>
                <w:spacing w:val="-8"/>
                <w:sz w:val="21"/>
                <w:szCs w:val="21"/>
              </w:rPr>
              <w:t>级</w:t>
            </w:r>
          </w:p>
        </w:tc>
        <w:tc>
          <w:tcPr>
            <w:tcW w:w="6202" w:type="dxa"/>
            <w:gridSpan w:val="4"/>
            <w:vAlign w:val="top"/>
          </w:tcPr>
          <w:p>
            <w:pPr>
              <w:spacing w:before="111" w:line="220" w:lineRule="auto"/>
              <w:ind w:left="2674"/>
              <w:rPr>
                <w:rFonts w:ascii="宋体" w:hAnsi="宋体" w:eastAsia="宋体" w:cs="宋体"/>
                <w:sz w:val="21"/>
                <w:szCs w:val="21"/>
              </w:rPr>
            </w:pPr>
            <w:r>
              <w:rPr>
                <w:rFonts w:ascii="宋体" w:hAnsi="宋体" w:eastAsia="宋体" w:cs="宋体"/>
                <w:b/>
                <w:bCs/>
                <w:spacing w:val="-5"/>
                <w:sz w:val="21"/>
                <w:szCs w:val="21"/>
              </w:rPr>
              <w:t>分级标准</w:t>
            </w:r>
          </w:p>
        </w:tc>
        <w:tc>
          <w:tcPr>
            <w:tcW w:w="1293"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before="69" w:line="220" w:lineRule="auto"/>
              <w:ind w:left="221"/>
              <w:rPr>
                <w:rFonts w:ascii="宋体" w:hAnsi="宋体" w:eastAsia="宋体" w:cs="宋体"/>
                <w:sz w:val="21"/>
                <w:szCs w:val="21"/>
              </w:rPr>
            </w:pPr>
            <w:r>
              <w:rPr>
                <w:rFonts w:ascii="宋体" w:hAnsi="宋体" w:eastAsia="宋体" w:cs="宋体"/>
                <w:b/>
                <w:bCs/>
                <w:sz w:val="21"/>
                <w:szCs w:val="21"/>
              </w:rPr>
              <w:t>响应级别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jc w:val="center"/>
        </w:trPr>
        <w:tc>
          <w:tcPr>
            <w:tcW w:w="1194" w:type="dxa"/>
            <w:vMerge w:val="continue"/>
            <w:tcBorders>
              <w:top w:val="nil"/>
              <w:bottom w:val="nil"/>
            </w:tcBorders>
            <w:vAlign w:val="top"/>
          </w:tcPr>
          <w:p>
            <w:pPr>
              <w:rPr>
                <w:rFonts w:ascii="Arial"/>
                <w:sz w:val="21"/>
              </w:rPr>
            </w:pPr>
          </w:p>
        </w:tc>
        <w:tc>
          <w:tcPr>
            <w:tcW w:w="3056" w:type="dxa"/>
            <w:gridSpan w:val="2"/>
            <w:vAlign w:val="top"/>
          </w:tcPr>
          <w:p>
            <w:pPr>
              <w:spacing w:before="117" w:line="220" w:lineRule="auto"/>
              <w:ind w:left="1313"/>
              <w:rPr>
                <w:rFonts w:ascii="宋体" w:hAnsi="宋体" w:eastAsia="宋体" w:cs="宋体"/>
                <w:sz w:val="21"/>
                <w:szCs w:val="21"/>
              </w:rPr>
            </w:pPr>
            <w:r>
              <w:rPr>
                <w:rFonts w:ascii="宋体" w:hAnsi="宋体" w:eastAsia="宋体" w:cs="宋体"/>
                <w:b/>
                <w:bCs/>
                <w:spacing w:val="-1"/>
                <w:sz w:val="21"/>
                <w:szCs w:val="21"/>
              </w:rPr>
              <w:t>险情</w:t>
            </w:r>
          </w:p>
        </w:tc>
        <w:tc>
          <w:tcPr>
            <w:tcW w:w="3146" w:type="dxa"/>
            <w:gridSpan w:val="2"/>
            <w:vAlign w:val="top"/>
          </w:tcPr>
          <w:p>
            <w:pPr>
              <w:spacing w:before="117" w:line="220" w:lineRule="auto"/>
              <w:ind w:left="1357"/>
              <w:rPr>
                <w:rFonts w:ascii="宋体" w:hAnsi="宋体" w:eastAsia="宋体" w:cs="宋体"/>
                <w:sz w:val="21"/>
                <w:szCs w:val="21"/>
              </w:rPr>
            </w:pPr>
            <w:r>
              <w:rPr>
                <w:rFonts w:ascii="宋体" w:hAnsi="宋体" w:eastAsia="宋体" w:cs="宋体"/>
                <w:b/>
                <w:bCs/>
                <w:spacing w:val="-6"/>
                <w:sz w:val="21"/>
                <w:szCs w:val="21"/>
              </w:rPr>
              <w:t>灾情</w:t>
            </w:r>
          </w:p>
        </w:tc>
        <w:tc>
          <w:tcPr>
            <w:tcW w:w="129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jc w:val="center"/>
        </w:trPr>
        <w:tc>
          <w:tcPr>
            <w:tcW w:w="1194" w:type="dxa"/>
            <w:vMerge w:val="continue"/>
            <w:tcBorders>
              <w:top w:val="nil"/>
            </w:tcBorders>
            <w:vAlign w:val="top"/>
          </w:tcPr>
          <w:p>
            <w:pPr>
              <w:rPr>
                <w:rFonts w:ascii="Arial"/>
                <w:sz w:val="21"/>
              </w:rPr>
            </w:pPr>
          </w:p>
        </w:tc>
        <w:tc>
          <w:tcPr>
            <w:tcW w:w="1388" w:type="dxa"/>
            <w:vAlign w:val="top"/>
          </w:tcPr>
          <w:p>
            <w:pPr>
              <w:spacing w:before="117" w:line="219" w:lineRule="auto"/>
              <w:ind w:left="183"/>
              <w:rPr>
                <w:rFonts w:ascii="宋体" w:hAnsi="宋体" w:eastAsia="宋体" w:cs="宋体"/>
                <w:sz w:val="21"/>
                <w:szCs w:val="21"/>
              </w:rPr>
            </w:pPr>
            <w:r>
              <w:rPr>
                <w:rFonts w:ascii="宋体" w:hAnsi="宋体" w:eastAsia="宋体" w:cs="宋体"/>
                <w:b/>
                <w:bCs/>
                <w:spacing w:val="-4"/>
                <w:sz w:val="21"/>
                <w:szCs w:val="21"/>
              </w:rPr>
              <w:t>迁转移人数</w:t>
            </w:r>
          </w:p>
        </w:tc>
        <w:tc>
          <w:tcPr>
            <w:tcW w:w="1668" w:type="dxa"/>
            <w:vAlign w:val="top"/>
          </w:tcPr>
          <w:p>
            <w:pPr>
              <w:spacing w:before="118" w:line="220" w:lineRule="auto"/>
              <w:ind w:left="215"/>
              <w:rPr>
                <w:rFonts w:ascii="宋体" w:hAnsi="宋体" w:eastAsia="宋体" w:cs="宋体"/>
                <w:sz w:val="21"/>
                <w:szCs w:val="21"/>
              </w:rPr>
            </w:pPr>
            <w:r>
              <w:rPr>
                <w:rFonts w:ascii="宋体" w:hAnsi="宋体" w:eastAsia="宋体" w:cs="宋体"/>
                <w:b/>
                <w:bCs/>
                <w:spacing w:val="-4"/>
                <w:sz w:val="21"/>
                <w:szCs w:val="21"/>
              </w:rPr>
              <w:t>潜在经济损失</w:t>
            </w:r>
          </w:p>
        </w:tc>
        <w:tc>
          <w:tcPr>
            <w:tcW w:w="1588" w:type="dxa"/>
            <w:vAlign w:val="top"/>
          </w:tcPr>
          <w:p>
            <w:pPr>
              <w:spacing w:before="117" w:line="219" w:lineRule="auto"/>
              <w:ind w:left="377"/>
              <w:rPr>
                <w:rFonts w:ascii="宋体" w:hAnsi="宋体" w:eastAsia="宋体" w:cs="宋体"/>
                <w:sz w:val="21"/>
                <w:szCs w:val="21"/>
              </w:rPr>
            </w:pPr>
            <w:r>
              <w:rPr>
                <w:rFonts w:ascii="宋体" w:hAnsi="宋体" w:eastAsia="宋体" w:cs="宋体"/>
                <w:b/>
                <w:bCs/>
                <w:spacing w:val="-4"/>
                <w:sz w:val="21"/>
                <w:szCs w:val="21"/>
              </w:rPr>
              <w:t>死亡人数</w:t>
            </w:r>
          </w:p>
        </w:tc>
        <w:tc>
          <w:tcPr>
            <w:tcW w:w="1558" w:type="dxa"/>
            <w:vAlign w:val="top"/>
          </w:tcPr>
          <w:p>
            <w:pPr>
              <w:spacing w:before="118" w:line="220" w:lineRule="auto"/>
              <w:ind w:left="100"/>
              <w:rPr>
                <w:rFonts w:ascii="宋体" w:hAnsi="宋体" w:eastAsia="宋体" w:cs="宋体"/>
                <w:sz w:val="21"/>
                <w:szCs w:val="21"/>
              </w:rPr>
            </w:pPr>
            <w:r>
              <w:rPr>
                <w:rFonts w:ascii="宋体" w:hAnsi="宋体" w:eastAsia="宋体" w:cs="宋体"/>
                <w:b/>
                <w:bCs/>
                <w:spacing w:val="-4"/>
                <w:sz w:val="21"/>
                <w:szCs w:val="21"/>
              </w:rPr>
              <w:t>直接经济损失</w:t>
            </w:r>
          </w:p>
        </w:tc>
        <w:tc>
          <w:tcPr>
            <w:tcW w:w="1293"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jc w:val="center"/>
        </w:trPr>
        <w:tc>
          <w:tcPr>
            <w:tcW w:w="1194" w:type="dxa"/>
            <w:vAlign w:val="top"/>
          </w:tcPr>
          <w:p>
            <w:pPr>
              <w:spacing w:before="228" w:line="219" w:lineRule="auto"/>
              <w:ind w:left="277"/>
              <w:rPr>
                <w:rFonts w:ascii="宋体" w:hAnsi="宋体" w:eastAsia="宋体" w:cs="宋体"/>
                <w:sz w:val="21"/>
                <w:szCs w:val="21"/>
              </w:rPr>
            </w:pPr>
            <w:r>
              <w:rPr>
                <w:rFonts w:ascii="宋体" w:hAnsi="宋体" w:eastAsia="宋体" w:cs="宋体"/>
                <w:b/>
                <w:bCs/>
                <w:spacing w:val="-5"/>
                <w:sz w:val="21"/>
                <w:szCs w:val="21"/>
              </w:rPr>
              <w:t>特大型</w:t>
            </w:r>
          </w:p>
        </w:tc>
        <w:tc>
          <w:tcPr>
            <w:tcW w:w="1388" w:type="dxa"/>
            <w:vAlign w:val="top"/>
          </w:tcPr>
          <w:p>
            <w:pPr>
              <w:spacing w:before="234" w:line="222" w:lineRule="auto"/>
              <w:ind w:left="100"/>
              <w:rPr>
                <w:rFonts w:ascii="宋体" w:hAnsi="宋体" w:eastAsia="宋体" w:cs="宋体"/>
                <w:sz w:val="21"/>
                <w:szCs w:val="21"/>
              </w:rPr>
            </w:pPr>
            <w:r>
              <w:rPr>
                <w:rFonts w:ascii="宋体" w:hAnsi="宋体" w:eastAsia="宋体" w:cs="宋体"/>
                <w:spacing w:val="1"/>
                <w:sz w:val="21"/>
                <w:szCs w:val="21"/>
              </w:rPr>
              <w:t>1000人以上</w:t>
            </w:r>
          </w:p>
        </w:tc>
        <w:tc>
          <w:tcPr>
            <w:tcW w:w="1668" w:type="dxa"/>
            <w:vAlign w:val="top"/>
          </w:tcPr>
          <w:p>
            <w:pPr>
              <w:spacing w:before="232" w:line="220" w:lineRule="auto"/>
              <w:ind w:left="92"/>
              <w:rPr>
                <w:rFonts w:ascii="宋体" w:hAnsi="宋体" w:eastAsia="宋体" w:cs="宋体"/>
                <w:sz w:val="21"/>
                <w:szCs w:val="21"/>
              </w:rPr>
            </w:pPr>
            <w:r>
              <w:rPr>
                <w:rFonts w:ascii="宋体" w:hAnsi="宋体" w:eastAsia="宋体" w:cs="宋体"/>
                <w:sz w:val="21"/>
                <w:szCs w:val="21"/>
              </w:rPr>
              <w:t>1亿元以上</w:t>
            </w:r>
          </w:p>
        </w:tc>
        <w:tc>
          <w:tcPr>
            <w:tcW w:w="1588" w:type="dxa"/>
            <w:vAlign w:val="top"/>
          </w:tcPr>
          <w:p>
            <w:pPr>
              <w:spacing w:before="234" w:line="222" w:lineRule="auto"/>
              <w:ind w:left="94"/>
              <w:rPr>
                <w:rFonts w:ascii="宋体" w:hAnsi="宋体" w:eastAsia="宋体" w:cs="宋体"/>
                <w:sz w:val="21"/>
                <w:szCs w:val="21"/>
              </w:rPr>
            </w:pPr>
            <w:r>
              <w:rPr>
                <w:rFonts w:ascii="宋体" w:hAnsi="宋体" w:eastAsia="宋体" w:cs="宋体"/>
                <w:spacing w:val="1"/>
                <w:sz w:val="21"/>
                <w:szCs w:val="21"/>
              </w:rPr>
              <w:t>30人以上</w:t>
            </w:r>
          </w:p>
        </w:tc>
        <w:tc>
          <w:tcPr>
            <w:tcW w:w="1558" w:type="dxa"/>
            <w:vAlign w:val="top"/>
          </w:tcPr>
          <w:p>
            <w:pPr>
              <w:spacing w:before="232" w:line="220" w:lineRule="auto"/>
              <w:ind w:left="97"/>
              <w:rPr>
                <w:rFonts w:ascii="宋体" w:hAnsi="宋体" w:eastAsia="宋体" w:cs="宋体"/>
                <w:sz w:val="21"/>
                <w:szCs w:val="21"/>
              </w:rPr>
            </w:pPr>
            <w:r>
              <w:rPr>
                <w:rFonts w:ascii="宋体" w:hAnsi="宋体" w:eastAsia="宋体" w:cs="宋体"/>
                <w:spacing w:val="1"/>
                <w:sz w:val="21"/>
                <w:szCs w:val="21"/>
              </w:rPr>
              <w:t>1000万元以上</w:t>
            </w:r>
          </w:p>
        </w:tc>
        <w:tc>
          <w:tcPr>
            <w:tcW w:w="1293" w:type="dxa"/>
            <w:vMerge w:val="restart"/>
            <w:tcBorders>
              <w:bottom w:val="nil"/>
            </w:tcBorders>
            <w:vAlign w:val="top"/>
          </w:tcPr>
          <w:p>
            <w:pPr>
              <w:spacing w:line="251" w:lineRule="auto"/>
              <w:rPr>
                <w:rFonts w:ascii="Arial"/>
                <w:sz w:val="21"/>
              </w:rPr>
            </w:pPr>
          </w:p>
          <w:p>
            <w:pPr>
              <w:spacing w:line="252" w:lineRule="auto"/>
              <w:rPr>
                <w:rFonts w:ascii="Arial"/>
                <w:sz w:val="21"/>
              </w:rPr>
            </w:pPr>
          </w:p>
          <w:p>
            <w:pPr>
              <w:spacing w:before="68" w:line="221" w:lineRule="auto"/>
              <w:ind w:left="268"/>
              <w:rPr>
                <w:rFonts w:ascii="宋体" w:hAnsi="宋体" w:eastAsia="宋体" w:cs="宋体"/>
                <w:sz w:val="21"/>
                <w:szCs w:val="21"/>
              </w:rPr>
            </w:pPr>
            <w:r>
              <w:rPr>
                <w:rFonts w:ascii="宋体" w:hAnsi="宋体" w:eastAsia="宋体" w:cs="宋体"/>
                <w:spacing w:val="3"/>
                <w:sz w:val="21"/>
                <w:szCs w:val="21"/>
              </w:rPr>
              <w:t>I级响应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jc w:val="center"/>
        </w:trPr>
        <w:tc>
          <w:tcPr>
            <w:tcW w:w="1194" w:type="dxa"/>
            <w:vAlign w:val="top"/>
          </w:tcPr>
          <w:p>
            <w:pPr>
              <w:spacing w:before="230" w:line="220" w:lineRule="auto"/>
              <w:ind w:left="377"/>
              <w:rPr>
                <w:rFonts w:ascii="宋体" w:hAnsi="宋体" w:eastAsia="宋体" w:cs="宋体"/>
                <w:sz w:val="21"/>
                <w:szCs w:val="21"/>
              </w:rPr>
            </w:pPr>
            <w:r>
              <w:rPr>
                <w:rFonts w:ascii="宋体" w:hAnsi="宋体" w:eastAsia="宋体" w:cs="宋体"/>
                <w:b/>
                <w:bCs/>
                <w:spacing w:val="-5"/>
                <w:sz w:val="21"/>
                <w:szCs w:val="21"/>
              </w:rPr>
              <w:t>大型</w:t>
            </w:r>
          </w:p>
        </w:tc>
        <w:tc>
          <w:tcPr>
            <w:tcW w:w="1388" w:type="dxa"/>
            <w:vAlign w:val="top"/>
          </w:tcPr>
          <w:p>
            <w:pPr>
              <w:spacing w:before="125" w:line="239" w:lineRule="auto"/>
              <w:ind w:left="100" w:right="22"/>
              <w:rPr>
                <w:rFonts w:ascii="宋体" w:hAnsi="宋体" w:eastAsia="宋体" w:cs="宋体"/>
                <w:sz w:val="21"/>
                <w:szCs w:val="21"/>
              </w:rPr>
            </w:pPr>
            <w:r>
              <w:rPr>
                <w:rFonts w:ascii="宋体" w:hAnsi="宋体" w:eastAsia="宋体" w:cs="宋体"/>
                <w:spacing w:val="14"/>
                <w:sz w:val="21"/>
                <w:szCs w:val="21"/>
              </w:rPr>
              <w:t>500人以上、</w:t>
            </w:r>
            <w:r>
              <w:rPr>
                <w:rFonts w:ascii="宋体" w:hAnsi="宋体" w:eastAsia="宋体" w:cs="宋体"/>
                <w:sz w:val="21"/>
                <w:szCs w:val="21"/>
              </w:rPr>
              <w:t xml:space="preserve"> </w:t>
            </w:r>
            <w:r>
              <w:rPr>
                <w:rFonts w:ascii="宋体" w:hAnsi="宋体" w:eastAsia="宋体" w:cs="宋体"/>
                <w:spacing w:val="1"/>
                <w:sz w:val="21"/>
                <w:szCs w:val="21"/>
              </w:rPr>
              <w:t>1000人以下</w:t>
            </w:r>
          </w:p>
        </w:tc>
        <w:tc>
          <w:tcPr>
            <w:tcW w:w="1668" w:type="dxa"/>
            <w:vAlign w:val="top"/>
          </w:tcPr>
          <w:p>
            <w:pPr>
              <w:spacing w:before="123"/>
              <w:ind w:left="92" w:right="295"/>
              <w:rPr>
                <w:rFonts w:ascii="宋体" w:hAnsi="宋体" w:eastAsia="宋体" w:cs="宋体"/>
                <w:sz w:val="21"/>
                <w:szCs w:val="21"/>
              </w:rPr>
            </w:pPr>
            <w:r>
              <w:rPr>
                <w:rFonts w:ascii="宋体" w:hAnsi="宋体" w:eastAsia="宋体" w:cs="宋体"/>
                <w:spacing w:val="1"/>
                <w:sz w:val="21"/>
                <w:szCs w:val="21"/>
              </w:rPr>
              <w:t>5000万元以上</w:t>
            </w:r>
            <w:r>
              <w:rPr>
                <w:rFonts w:ascii="宋体" w:hAnsi="宋体" w:eastAsia="宋体" w:cs="宋体"/>
                <w:sz w:val="21"/>
                <w:szCs w:val="21"/>
              </w:rPr>
              <w:t xml:space="preserve"> </w:t>
            </w:r>
            <w:r>
              <w:rPr>
                <w:rFonts w:ascii="宋体" w:hAnsi="宋体" w:eastAsia="宋体" w:cs="宋体"/>
                <w:spacing w:val="1"/>
                <w:sz w:val="21"/>
                <w:szCs w:val="21"/>
              </w:rPr>
              <w:t>1亿元以下</w:t>
            </w:r>
          </w:p>
        </w:tc>
        <w:tc>
          <w:tcPr>
            <w:tcW w:w="1588" w:type="dxa"/>
            <w:vAlign w:val="top"/>
          </w:tcPr>
          <w:p>
            <w:pPr>
              <w:spacing w:before="126" w:line="237" w:lineRule="auto"/>
              <w:ind w:left="94" w:right="202" w:firstLine="9"/>
              <w:rPr>
                <w:rFonts w:ascii="宋体" w:hAnsi="宋体" w:eastAsia="宋体" w:cs="宋体"/>
                <w:sz w:val="21"/>
                <w:szCs w:val="21"/>
              </w:rPr>
            </w:pPr>
            <w:r>
              <w:rPr>
                <w:rFonts w:ascii="宋体" w:hAnsi="宋体" w:eastAsia="宋体" w:cs="宋体"/>
                <w:spacing w:val="1"/>
                <w:sz w:val="21"/>
                <w:szCs w:val="21"/>
              </w:rPr>
              <w:t>10人以上、30</w:t>
            </w:r>
            <w:r>
              <w:rPr>
                <w:rFonts w:ascii="宋体" w:hAnsi="宋体" w:eastAsia="宋体" w:cs="宋体"/>
                <w:spacing w:val="4"/>
                <w:sz w:val="21"/>
                <w:szCs w:val="21"/>
              </w:rPr>
              <w:t>人以下</w:t>
            </w:r>
          </w:p>
        </w:tc>
        <w:tc>
          <w:tcPr>
            <w:tcW w:w="1558" w:type="dxa"/>
            <w:vAlign w:val="top"/>
          </w:tcPr>
          <w:p>
            <w:pPr>
              <w:spacing w:before="123" w:line="252" w:lineRule="auto"/>
              <w:ind w:left="97"/>
              <w:rPr>
                <w:rFonts w:ascii="宋体" w:hAnsi="宋体" w:eastAsia="宋体" w:cs="宋体"/>
                <w:sz w:val="20"/>
                <w:szCs w:val="20"/>
              </w:rPr>
            </w:pPr>
            <w:r>
              <w:rPr>
                <w:rFonts w:ascii="宋体" w:hAnsi="宋体" w:eastAsia="宋体" w:cs="宋体"/>
                <w:spacing w:val="18"/>
                <w:sz w:val="20"/>
                <w:szCs w:val="20"/>
              </w:rPr>
              <w:t>500万元以上、</w:t>
            </w:r>
            <w:r>
              <w:rPr>
                <w:rFonts w:ascii="宋体" w:hAnsi="宋体" w:eastAsia="宋体" w:cs="宋体"/>
                <w:spacing w:val="1"/>
                <w:sz w:val="20"/>
                <w:szCs w:val="20"/>
              </w:rPr>
              <w:t xml:space="preserve"> </w:t>
            </w:r>
            <w:r>
              <w:rPr>
                <w:rFonts w:ascii="宋体" w:hAnsi="宋体" w:eastAsia="宋体" w:cs="宋体"/>
                <w:spacing w:val="7"/>
                <w:sz w:val="20"/>
                <w:szCs w:val="20"/>
              </w:rPr>
              <w:t>1000万元以下</w:t>
            </w:r>
          </w:p>
        </w:tc>
        <w:tc>
          <w:tcPr>
            <w:tcW w:w="1293"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jc w:val="center"/>
        </w:trPr>
        <w:tc>
          <w:tcPr>
            <w:tcW w:w="1194" w:type="dxa"/>
            <w:vAlign w:val="top"/>
          </w:tcPr>
          <w:p>
            <w:pPr>
              <w:spacing w:before="241" w:line="220" w:lineRule="auto"/>
              <w:ind w:left="377"/>
              <w:rPr>
                <w:rFonts w:ascii="宋体" w:hAnsi="宋体" w:eastAsia="宋体" w:cs="宋体"/>
                <w:sz w:val="21"/>
                <w:szCs w:val="21"/>
              </w:rPr>
            </w:pPr>
            <w:r>
              <w:rPr>
                <w:rFonts w:ascii="宋体" w:hAnsi="宋体" w:eastAsia="宋体" w:cs="宋体"/>
                <w:b/>
                <w:bCs/>
                <w:spacing w:val="1"/>
                <w:sz w:val="21"/>
                <w:szCs w:val="21"/>
              </w:rPr>
              <w:t>中型</w:t>
            </w:r>
          </w:p>
        </w:tc>
        <w:tc>
          <w:tcPr>
            <w:tcW w:w="1388" w:type="dxa"/>
            <w:vAlign w:val="top"/>
          </w:tcPr>
          <w:p>
            <w:pPr>
              <w:spacing w:before="115" w:line="242" w:lineRule="auto"/>
              <w:ind w:left="100" w:right="22"/>
              <w:rPr>
                <w:rFonts w:ascii="宋体" w:hAnsi="宋体" w:eastAsia="宋体" w:cs="宋体"/>
                <w:sz w:val="21"/>
                <w:szCs w:val="21"/>
              </w:rPr>
            </w:pPr>
            <w:r>
              <w:rPr>
                <w:rFonts w:ascii="宋体" w:hAnsi="宋体" w:eastAsia="宋体" w:cs="宋体"/>
                <w:spacing w:val="14"/>
                <w:sz w:val="21"/>
                <w:szCs w:val="21"/>
              </w:rPr>
              <w:t>100人以上、</w:t>
            </w:r>
            <w:r>
              <w:rPr>
                <w:rFonts w:ascii="宋体" w:hAnsi="宋体" w:eastAsia="宋体" w:cs="宋体"/>
                <w:spacing w:val="1"/>
                <w:sz w:val="21"/>
                <w:szCs w:val="21"/>
              </w:rPr>
              <w:t xml:space="preserve"> 500人以下</w:t>
            </w:r>
          </w:p>
        </w:tc>
        <w:tc>
          <w:tcPr>
            <w:tcW w:w="1668" w:type="dxa"/>
            <w:vAlign w:val="top"/>
          </w:tcPr>
          <w:p>
            <w:pPr>
              <w:spacing w:before="114" w:line="248" w:lineRule="auto"/>
              <w:ind w:left="92" w:right="100"/>
              <w:rPr>
                <w:rFonts w:ascii="宋体" w:hAnsi="宋体" w:eastAsia="宋体" w:cs="宋体"/>
                <w:sz w:val="21"/>
                <w:szCs w:val="21"/>
              </w:rPr>
            </w:pPr>
            <w:r>
              <w:rPr>
                <w:rFonts w:ascii="宋体" w:hAnsi="宋体" w:eastAsia="宋体" w:cs="宋体"/>
                <w:spacing w:val="12"/>
                <w:sz w:val="21"/>
                <w:szCs w:val="21"/>
              </w:rPr>
              <w:t>500万元以上、</w:t>
            </w:r>
            <w:r>
              <w:rPr>
                <w:rFonts w:ascii="宋体" w:hAnsi="宋体" w:eastAsia="宋体" w:cs="宋体"/>
                <w:spacing w:val="1"/>
                <w:sz w:val="21"/>
                <w:szCs w:val="21"/>
              </w:rPr>
              <w:t>5000万元以下</w:t>
            </w:r>
          </w:p>
        </w:tc>
        <w:tc>
          <w:tcPr>
            <w:tcW w:w="1588" w:type="dxa"/>
            <w:vAlign w:val="top"/>
          </w:tcPr>
          <w:p>
            <w:pPr>
              <w:spacing w:before="116" w:line="237" w:lineRule="auto"/>
              <w:ind w:left="94" w:right="130"/>
              <w:rPr>
                <w:rFonts w:ascii="宋体" w:hAnsi="宋体" w:eastAsia="宋体" w:cs="宋体"/>
                <w:sz w:val="21"/>
                <w:szCs w:val="21"/>
              </w:rPr>
            </w:pPr>
            <w:r>
              <w:rPr>
                <w:rFonts w:ascii="宋体" w:hAnsi="宋体" w:eastAsia="宋体" w:cs="宋体"/>
                <w:spacing w:val="-2"/>
                <w:sz w:val="21"/>
                <w:szCs w:val="21"/>
              </w:rPr>
              <w:t>3人以上、10人</w:t>
            </w:r>
            <w:r>
              <w:rPr>
                <w:rFonts w:ascii="宋体" w:hAnsi="宋体" w:eastAsia="宋体" w:cs="宋体"/>
                <w:spacing w:val="2"/>
                <w:sz w:val="21"/>
                <w:szCs w:val="21"/>
              </w:rPr>
              <w:t xml:space="preserve"> </w:t>
            </w:r>
            <w:r>
              <w:rPr>
                <w:rFonts w:ascii="宋体" w:hAnsi="宋体" w:eastAsia="宋体" w:cs="宋体"/>
                <w:spacing w:val="6"/>
                <w:sz w:val="21"/>
                <w:szCs w:val="21"/>
              </w:rPr>
              <w:t>以下</w:t>
            </w:r>
          </w:p>
        </w:tc>
        <w:tc>
          <w:tcPr>
            <w:tcW w:w="1558" w:type="dxa"/>
            <w:vAlign w:val="top"/>
          </w:tcPr>
          <w:p>
            <w:pPr>
              <w:spacing w:before="114" w:line="253" w:lineRule="auto"/>
              <w:ind w:left="97"/>
              <w:rPr>
                <w:rFonts w:ascii="宋体" w:hAnsi="宋体" w:eastAsia="宋体" w:cs="宋体"/>
                <w:sz w:val="20"/>
                <w:szCs w:val="20"/>
              </w:rPr>
            </w:pPr>
            <w:r>
              <w:rPr>
                <w:rFonts w:ascii="宋体" w:hAnsi="宋体" w:eastAsia="宋体" w:cs="宋体"/>
                <w:spacing w:val="18"/>
                <w:sz w:val="20"/>
                <w:szCs w:val="20"/>
              </w:rPr>
              <w:t>100万元以上、</w:t>
            </w:r>
            <w:r>
              <w:rPr>
                <w:rFonts w:ascii="宋体" w:hAnsi="宋体" w:eastAsia="宋体" w:cs="宋体"/>
                <w:spacing w:val="1"/>
                <w:sz w:val="20"/>
                <w:szCs w:val="20"/>
              </w:rPr>
              <w:t xml:space="preserve"> </w:t>
            </w:r>
            <w:r>
              <w:rPr>
                <w:rFonts w:ascii="宋体" w:hAnsi="宋体" w:eastAsia="宋体" w:cs="宋体"/>
                <w:spacing w:val="7"/>
                <w:sz w:val="20"/>
                <w:szCs w:val="20"/>
              </w:rPr>
              <w:t>500万元以下</w:t>
            </w:r>
          </w:p>
        </w:tc>
        <w:tc>
          <w:tcPr>
            <w:tcW w:w="1293" w:type="dxa"/>
            <w:vAlign w:val="top"/>
          </w:tcPr>
          <w:p>
            <w:pPr>
              <w:spacing w:before="246" w:line="221" w:lineRule="auto"/>
              <w:ind w:left="218"/>
              <w:rPr>
                <w:rFonts w:ascii="宋体" w:hAnsi="宋体" w:eastAsia="宋体" w:cs="宋体"/>
                <w:sz w:val="21"/>
                <w:szCs w:val="21"/>
              </w:rPr>
            </w:pPr>
            <w:r>
              <w:rPr>
                <w:rFonts w:ascii="宋体" w:hAnsi="宋体" w:eastAsia="宋体" w:cs="宋体"/>
                <w:spacing w:val="2"/>
                <w:sz w:val="21"/>
                <w:szCs w:val="21"/>
              </w:rPr>
              <w:t>Ⅱ级响应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8" w:hRule="atLeast"/>
          <w:jc w:val="center"/>
        </w:trPr>
        <w:tc>
          <w:tcPr>
            <w:tcW w:w="1194" w:type="dxa"/>
            <w:vAlign w:val="top"/>
          </w:tcPr>
          <w:p>
            <w:pPr>
              <w:spacing w:before="234" w:line="221" w:lineRule="auto"/>
              <w:ind w:left="377"/>
              <w:rPr>
                <w:rFonts w:ascii="宋体" w:hAnsi="宋体" w:eastAsia="宋体" w:cs="宋体"/>
                <w:sz w:val="21"/>
                <w:szCs w:val="21"/>
              </w:rPr>
            </w:pPr>
            <w:r>
              <w:rPr>
                <w:rFonts w:ascii="宋体" w:hAnsi="宋体" w:eastAsia="宋体" w:cs="宋体"/>
                <w:b/>
                <w:bCs/>
                <w:spacing w:val="1"/>
                <w:sz w:val="21"/>
                <w:szCs w:val="21"/>
              </w:rPr>
              <w:t>小型</w:t>
            </w:r>
          </w:p>
        </w:tc>
        <w:tc>
          <w:tcPr>
            <w:tcW w:w="1388" w:type="dxa"/>
            <w:vAlign w:val="top"/>
          </w:tcPr>
          <w:p>
            <w:pPr>
              <w:spacing w:before="235" w:line="221" w:lineRule="auto"/>
              <w:ind w:left="100"/>
              <w:rPr>
                <w:rFonts w:ascii="宋体" w:hAnsi="宋体" w:eastAsia="宋体" w:cs="宋体"/>
                <w:sz w:val="21"/>
                <w:szCs w:val="21"/>
              </w:rPr>
            </w:pPr>
            <w:r>
              <w:rPr>
                <w:rFonts w:ascii="宋体" w:hAnsi="宋体" w:eastAsia="宋体" w:cs="宋体"/>
                <w:spacing w:val="1"/>
                <w:sz w:val="21"/>
                <w:szCs w:val="21"/>
              </w:rPr>
              <w:t>100人以下</w:t>
            </w:r>
          </w:p>
        </w:tc>
        <w:tc>
          <w:tcPr>
            <w:tcW w:w="1668" w:type="dxa"/>
            <w:vAlign w:val="top"/>
          </w:tcPr>
          <w:p>
            <w:pPr>
              <w:spacing w:before="235" w:line="220" w:lineRule="auto"/>
              <w:ind w:left="92"/>
              <w:rPr>
                <w:rFonts w:ascii="宋体" w:hAnsi="宋体" w:eastAsia="宋体" w:cs="宋体"/>
                <w:sz w:val="21"/>
                <w:szCs w:val="21"/>
              </w:rPr>
            </w:pPr>
            <w:r>
              <w:rPr>
                <w:rFonts w:ascii="宋体" w:hAnsi="宋体" w:eastAsia="宋体" w:cs="宋体"/>
                <w:spacing w:val="1"/>
                <w:sz w:val="21"/>
                <w:szCs w:val="21"/>
              </w:rPr>
              <w:t>500万元以下</w:t>
            </w:r>
          </w:p>
        </w:tc>
        <w:tc>
          <w:tcPr>
            <w:tcW w:w="1588" w:type="dxa"/>
            <w:vAlign w:val="top"/>
          </w:tcPr>
          <w:p>
            <w:pPr>
              <w:spacing w:before="235" w:line="221" w:lineRule="auto"/>
              <w:ind w:left="94"/>
              <w:rPr>
                <w:rFonts w:ascii="宋体" w:hAnsi="宋体" w:eastAsia="宋体" w:cs="宋体"/>
                <w:sz w:val="21"/>
                <w:szCs w:val="21"/>
              </w:rPr>
            </w:pPr>
            <w:r>
              <w:rPr>
                <w:rFonts w:ascii="宋体" w:hAnsi="宋体" w:eastAsia="宋体" w:cs="宋体"/>
                <w:spacing w:val="2"/>
                <w:sz w:val="21"/>
                <w:szCs w:val="21"/>
              </w:rPr>
              <w:t>3人以下</w:t>
            </w:r>
          </w:p>
        </w:tc>
        <w:tc>
          <w:tcPr>
            <w:tcW w:w="1558" w:type="dxa"/>
            <w:vAlign w:val="top"/>
          </w:tcPr>
          <w:p>
            <w:pPr>
              <w:spacing w:before="235" w:line="220" w:lineRule="auto"/>
              <w:ind w:left="97"/>
              <w:rPr>
                <w:rFonts w:ascii="宋体" w:hAnsi="宋体" w:eastAsia="宋体" w:cs="宋体"/>
                <w:sz w:val="21"/>
                <w:szCs w:val="21"/>
              </w:rPr>
            </w:pPr>
            <w:r>
              <w:rPr>
                <w:rFonts w:ascii="宋体" w:hAnsi="宋体" w:eastAsia="宋体" w:cs="宋体"/>
                <w:spacing w:val="1"/>
                <w:sz w:val="21"/>
                <w:szCs w:val="21"/>
              </w:rPr>
              <w:t>100万元以下</w:t>
            </w:r>
          </w:p>
        </w:tc>
        <w:tc>
          <w:tcPr>
            <w:tcW w:w="1293" w:type="dxa"/>
            <w:vAlign w:val="top"/>
          </w:tcPr>
          <w:p>
            <w:pPr>
              <w:spacing w:before="237" w:line="221" w:lineRule="auto"/>
              <w:ind w:left="218"/>
              <w:rPr>
                <w:rFonts w:ascii="宋体" w:hAnsi="宋体" w:eastAsia="宋体" w:cs="宋体"/>
                <w:sz w:val="21"/>
                <w:szCs w:val="21"/>
              </w:rPr>
            </w:pPr>
            <w:r>
              <w:rPr>
                <w:rFonts w:ascii="宋体" w:hAnsi="宋体" w:eastAsia="宋体" w:cs="宋体"/>
                <w:spacing w:val="-2"/>
                <w:sz w:val="21"/>
                <w:szCs w:val="21"/>
              </w:rPr>
              <w:t>Ⅲ级响应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2" w:hRule="atLeast"/>
          <w:jc w:val="center"/>
        </w:trPr>
        <w:tc>
          <w:tcPr>
            <w:tcW w:w="8689" w:type="dxa"/>
            <w:gridSpan w:val="6"/>
            <w:vAlign w:val="top"/>
          </w:tcPr>
          <w:p>
            <w:pPr>
              <w:spacing w:line="346" w:lineRule="auto"/>
              <w:rPr>
                <w:rFonts w:ascii="Arial"/>
                <w:sz w:val="21"/>
              </w:rPr>
            </w:pPr>
          </w:p>
          <w:p>
            <w:pPr>
              <w:spacing w:before="68" w:line="219" w:lineRule="auto"/>
              <w:ind w:firstLine="216" w:firstLineChars="100"/>
              <w:rPr>
                <w:rFonts w:ascii="宋体" w:hAnsi="宋体" w:eastAsia="宋体" w:cs="宋体"/>
                <w:sz w:val="21"/>
                <w:szCs w:val="21"/>
              </w:rPr>
            </w:pPr>
            <w:r>
              <w:rPr>
                <w:rFonts w:ascii="宋体" w:hAnsi="宋体" w:eastAsia="宋体" w:cs="宋体"/>
                <w:spacing w:val="3"/>
                <w:sz w:val="21"/>
                <w:szCs w:val="21"/>
              </w:rPr>
              <w:t>说明</w:t>
            </w:r>
            <w:r>
              <w:rPr>
                <w:rFonts w:hint="eastAsia" w:ascii="宋体" w:hAnsi="宋体" w:eastAsia="宋体" w:cs="宋体"/>
                <w:spacing w:val="3"/>
                <w:sz w:val="21"/>
                <w:szCs w:val="21"/>
                <w:lang w:eastAsia="zh-CN"/>
              </w:rPr>
              <w:t>：</w:t>
            </w:r>
            <w:r>
              <w:rPr>
                <w:rFonts w:ascii="宋体" w:hAnsi="宋体" w:eastAsia="宋体" w:cs="宋体"/>
                <w:spacing w:val="3"/>
                <w:sz w:val="21"/>
                <w:szCs w:val="21"/>
              </w:rPr>
              <w:t>1.分级标准中，险情或灾情达到其中之一即达到相应等级。</w:t>
            </w:r>
          </w:p>
          <w:p>
            <w:pPr>
              <w:spacing w:before="81" w:line="220" w:lineRule="auto"/>
              <w:ind w:firstLine="864" w:firstLineChars="400"/>
              <w:rPr>
                <w:rFonts w:ascii="宋体" w:hAnsi="宋体" w:eastAsia="宋体" w:cs="宋体"/>
                <w:sz w:val="21"/>
                <w:szCs w:val="21"/>
              </w:rPr>
            </w:pPr>
            <w:r>
              <w:rPr>
                <w:rFonts w:ascii="宋体" w:hAnsi="宋体" w:eastAsia="宋体" w:cs="宋体"/>
                <w:spacing w:val="3"/>
                <w:sz w:val="21"/>
                <w:szCs w:val="21"/>
              </w:rPr>
              <w:t>2.地质灾害应急响应启动后，可视灾情及其发展情况对响应级别及时调整。</w:t>
            </w:r>
          </w:p>
        </w:tc>
      </w:tr>
    </w:tbl>
    <w:p>
      <w:pPr>
        <w:rPr>
          <w:rFonts w:hint="eastAsia"/>
        </w:rPr>
      </w:pPr>
    </w:p>
    <w:p>
      <w:pPr>
        <w:pStyle w:val="2"/>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pPr>
      <w:bookmarkStart w:id="0" w:name="_GoBack"/>
      <w:bookmarkEnd w:id="0"/>
    </w:p>
    <w:sectPr>
      <w:headerReference r:id="rId3" w:type="default"/>
      <w:footerReference r:id="rId4" w:type="default"/>
      <w:pgSz w:w="11900" w:h="16840"/>
      <w:pgMar w:top="2098" w:right="1474" w:bottom="1984" w:left="1587" w:header="0" w:footer="1077" w:gutter="0"/>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auto"/>
      <w:rPr>
        <w:rFonts w:hint="eastAsia" w:ascii="宋体" w:hAnsi="宋体" w:eastAsia="宋体" w:cs="宋体"/>
        <w:color w:val="000000" w:themeColor="text1"/>
        <w:sz w:val="28"/>
        <w:szCs w:val="28"/>
        <w:highlight w:val="black"/>
        <w14:textFill>
          <w14:solidFill>
            <w14:schemeClr w14:val="tx1"/>
          </w14:solidFill>
        </w14:textFill>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rawingGridHorizontalSpacing w:val="158"/>
  <w:drawingGridVerticalSpacing w:val="290"/>
  <w:displayHorizontalDrawingGridEvery w:val="2"/>
  <w:displayVerticalDrawingGridEvery w:val="2"/>
  <w:characterSpacingControl w:val="doNotCompress"/>
  <w:compat>
    <w:spaceForUL/>
    <w:ulTrailSpace/>
    <w:useFELayout/>
    <w:compatSetting w:name="compatibilityMode" w:uri="http://schemas.microsoft.com/office/word" w:val="14"/>
  </w:compat>
  <w:rsids>
    <w:rsidRoot w:val="00000000"/>
    <w:rsid w:val="01744AEC"/>
    <w:rsid w:val="01E36401"/>
    <w:rsid w:val="029242D1"/>
    <w:rsid w:val="029A508A"/>
    <w:rsid w:val="04F312C3"/>
    <w:rsid w:val="0B7A2A05"/>
    <w:rsid w:val="0C3612A0"/>
    <w:rsid w:val="0D68252B"/>
    <w:rsid w:val="0D685F66"/>
    <w:rsid w:val="10A764F1"/>
    <w:rsid w:val="11030AB4"/>
    <w:rsid w:val="126B5619"/>
    <w:rsid w:val="139E3F29"/>
    <w:rsid w:val="1421018B"/>
    <w:rsid w:val="143B23C0"/>
    <w:rsid w:val="14DC2DC0"/>
    <w:rsid w:val="1561493D"/>
    <w:rsid w:val="180510DC"/>
    <w:rsid w:val="183F431F"/>
    <w:rsid w:val="18884FC3"/>
    <w:rsid w:val="18D53377"/>
    <w:rsid w:val="193C3348"/>
    <w:rsid w:val="1B416D15"/>
    <w:rsid w:val="1D66150A"/>
    <w:rsid w:val="1F2B7724"/>
    <w:rsid w:val="20816AEB"/>
    <w:rsid w:val="20F24425"/>
    <w:rsid w:val="216C3386"/>
    <w:rsid w:val="25055220"/>
    <w:rsid w:val="26900A1E"/>
    <w:rsid w:val="296221C7"/>
    <w:rsid w:val="2BB01DE9"/>
    <w:rsid w:val="2CD8725E"/>
    <w:rsid w:val="31356C24"/>
    <w:rsid w:val="314A335E"/>
    <w:rsid w:val="31C7180E"/>
    <w:rsid w:val="34FA3EC1"/>
    <w:rsid w:val="35AF596F"/>
    <w:rsid w:val="3C8A406A"/>
    <w:rsid w:val="3D8029F7"/>
    <w:rsid w:val="3E51317C"/>
    <w:rsid w:val="43395ECD"/>
    <w:rsid w:val="448D0286"/>
    <w:rsid w:val="457B7E6A"/>
    <w:rsid w:val="45F87487"/>
    <w:rsid w:val="46FF7882"/>
    <w:rsid w:val="474C4FA9"/>
    <w:rsid w:val="49554CFE"/>
    <w:rsid w:val="497B184C"/>
    <w:rsid w:val="4BB96671"/>
    <w:rsid w:val="4BCB6CD1"/>
    <w:rsid w:val="4C20309E"/>
    <w:rsid w:val="4EBC0EDA"/>
    <w:rsid w:val="4FA75A76"/>
    <w:rsid w:val="50CF6771"/>
    <w:rsid w:val="50F97458"/>
    <w:rsid w:val="51CA4938"/>
    <w:rsid w:val="570D085F"/>
    <w:rsid w:val="579227AC"/>
    <w:rsid w:val="58C40A7B"/>
    <w:rsid w:val="59AB2FB1"/>
    <w:rsid w:val="5B714B8E"/>
    <w:rsid w:val="5BC74D8A"/>
    <w:rsid w:val="5CCA1500"/>
    <w:rsid w:val="5F0B06B6"/>
    <w:rsid w:val="628A11BB"/>
    <w:rsid w:val="63624678"/>
    <w:rsid w:val="63704C9E"/>
    <w:rsid w:val="65C37638"/>
    <w:rsid w:val="66DB4DB4"/>
    <w:rsid w:val="6A2E7A85"/>
    <w:rsid w:val="6BCC6C9A"/>
    <w:rsid w:val="6BDE01F0"/>
    <w:rsid w:val="6CF71206"/>
    <w:rsid w:val="6DF21DB3"/>
    <w:rsid w:val="70017FB2"/>
    <w:rsid w:val="703142B6"/>
    <w:rsid w:val="70B567E2"/>
    <w:rsid w:val="70DE3420"/>
    <w:rsid w:val="71F214CA"/>
    <w:rsid w:val="72D27D25"/>
    <w:rsid w:val="733868D0"/>
    <w:rsid w:val="735301DD"/>
    <w:rsid w:val="753D1D50"/>
    <w:rsid w:val="78256903"/>
    <w:rsid w:val="79716421"/>
    <w:rsid w:val="7CA10555"/>
    <w:rsid w:val="7CD60AF8"/>
    <w:rsid w:val="7F5A65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3"/>
    <w:basedOn w:val="1"/>
    <w:next w:val="1"/>
    <w:qFormat/>
    <w:uiPriority w:val="0"/>
    <w:pPr>
      <w:widowControl w:val="0"/>
      <w:jc w:val="both"/>
      <w:outlineLvl w:val="2"/>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rPr>
      <w:rFonts w:ascii="Calibri" w:hAnsi="Calibri" w:eastAsia="宋体" w:cs="Times New Roman"/>
      <w:szCs w:val="22"/>
    </w:rPr>
  </w:style>
  <w:style w:type="paragraph" w:styleId="4">
    <w:name w:val="Normal Indent"/>
    <w:basedOn w:val="1"/>
    <w:semiHidden/>
    <w:qFormat/>
    <w:uiPriority w:val="99"/>
    <w:pPr>
      <w:ind w:firstLine="420" w:firstLineChars="200"/>
    </w:pPr>
  </w:style>
  <w:style w:type="paragraph" w:styleId="5">
    <w:name w:val="Body Text Indent"/>
    <w:basedOn w:val="1"/>
    <w:next w:val="4"/>
    <w:semiHidden/>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qFormat/>
    <w:uiPriority w:val="99"/>
    <w:pPr>
      <w:ind w:firstLine="420" w:firstLineChars="200"/>
    </w:pPr>
  </w:style>
  <w:style w:type="table" w:customStyle="1" w:styleId="12">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53</TotalTime>
  <ScaleCrop>false</ScaleCrop>
  <LinksUpToDate>false</LinksUpToDate>
  <Application>WPS Office_11.8.2.8506_F1E327BC-269C-435d-A152-05C5408002CA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2023-09-19T15:07:00Z</dcterms:created>
  <dc:creator>Kingsoft-PDF</dc:creator>
  <cp:lastModifiedBy>Administrator</cp:lastModifiedBy>
  <dcterms:modified xsi:type="dcterms:W3CDTF">2023-10-26T01:37:14Z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2023-09-19T15:07:22Z</vt:filetime>
  </property>
  <property fmtid="{D5CDD505-2E9C-101B-9397-08002B2CF9AE}" pid="4" name="UsrData">
    <vt:lpwstr>650948a2592b69002076ded0wl</vt:lpwstr>
  </property>
  <property fmtid="{D5CDD505-2E9C-101B-9397-08002B2CF9AE}" pid="5" name="KSOProductBuildVer">
    <vt:lpwstr>2052-11.8.2.8506</vt:lpwstr>
  </property>
</Properties>
</file>