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50" w:beforeAutospacing="0" w:after="50" w:afterAutospacing="0" w:line="370" w:lineRule="atLeast"/>
        <w:ind w:left="0" w:right="0"/>
        <w:jc w:val="center"/>
      </w:pPr>
      <w:bookmarkStart w:id="0" w:name="_GoBack"/>
      <w:r>
        <w:rPr>
          <w:rFonts w:hint="eastAsia" w:ascii="黑体" w:hAnsi="宋体" w:eastAsia="黑体" w:cs="黑体"/>
          <w:sz w:val="29"/>
          <w:szCs w:val="29"/>
          <w:lang w:val="en-US" w:eastAsia="zh-CN"/>
        </w:rPr>
        <w:t>文字解读：关于</w:t>
      </w:r>
      <w:r>
        <w:rPr>
          <w:rFonts w:ascii="黑体" w:hAnsi="宋体" w:eastAsia="黑体" w:cs="黑体"/>
          <w:sz w:val="29"/>
          <w:szCs w:val="29"/>
        </w:rPr>
        <w:t>《对</w:t>
      </w:r>
      <w:r>
        <w:rPr>
          <w:rFonts w:hint="eastAsia" w:ascii="黑体" w:hAnsi="宋体" w:eastAsia="黑体" w:cs="黑体"/>
          <w:sz w:val="29"/>
          <w:szCs w:val="29"/>
        </w:rPr>
        <w:t>“亩产效益”评价企业试行差别化价格政策》的解读</w:t>
      </w:r>
    </w:p>
    <w:p>
      <w:pPr>
        <w:pStyle w:val="2"/>
        <w:keepNext w:val="0"/>
        <w:keepLines w:val="0"/>
        <w:widowControl/>
        <w:suppressLineNumbers w:val="0"/>
        <w:spacing w:before="50" w:beforeAutospacing="0" w:after="50" w:afterAutospacing="0" w:line="370" w:lineRule="atLeast"/>
        <w:ind w:left="0" w:right="0"/>
      </w:pPr>
      <w:r>
        <w:rPr>
          <w:rFonts w:hint="eastAsia" w:ascii="黑体" w:hAnsi="宋体" w:eastAsia="黑体" w:cs="黑体"/>
          <w:sz w:val="29"/>
          <w:szCs w:val="29"/>
        </w:rPr>
        <w:t>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pPr>
      <w:r>
        <w:rPr>
          <w:rFonts w:hint="eastAsia" w:ascii="黑体" w:hAnsi="宋体" w:eastAsia="黑体" w:cs="黑体"/>
          <w:sz w:val="21"/>
          <w:szCs w:val="21"/>
        </w:rPr>
        <w:t>一、政策背景</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rPr>
          <w:rFonts w:hint="eastAsia" w:ascii="仿宋" w:hAnsi="仿宋" w:eastAsia="仿宋" w:cs="仿宋"/>
          <w:sz w:val="21"/>
          <w:szCs w:val="21"/>
        </w:rPr>
      </w:pPr>
      <w:r>
        <w:rPr>
          <w:rFonts w:ascii="仿宋" w:hAnsi="仿宋" w:eastAsia="仿宋" w:cs="仿宋"/>
          <w:sz w:val="21"/>
          <w:szCs w:val="21"/>
        </w:rPr>
        <w:t>2019年12月山东省人民政府印发了</w:t>
      </w:r>
      <w:r>
        <w:rPr>
          <w:rFonts w:hint="eastAsia" w:ascii="仿宋" w:hAnsi="仿宋" w:eastAsia="仿宋" w:cs="仿宋"/>
          <w:sz w:val="21"/>
          <w:szCs w:val="21"/>
        </w:rPr>
        <w:t>《山东省人民政府关于开展“亩产效益”评价改革工作的指导意见》（鲁政字[2019]235号），目的是加快建立以质量和效益为导向的工业企业分类综合评价机制，深入推进资源要素市场化配置，实施资源要素差别化配置政策，不断提高全要素生产率，促进新旧动能转换和高质量发展。其中指出实施差别化价格政策是实行资源要素差别化配置的一项重要的配套措施。根据该指导意见省发改委配套出台了《山东省发展和改革委员会关于对“亩产效益”评价企业试行差别化价格政策的通知》（鲁发改价格[2020]51号），对市、区、县出台相应的差别化价格政策提出了指导意见和具体要求。《通知》提出有价格管理权限的市、县（市、区）发改部门要制定本区域的差别化价格政策。</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pPr>
      <w:r>
        <w:rPr>
          <w:rFonts w:hint="eastAsia" w:ascii="黑体" w:hAnsi="宋体" w:eastAsia="黑体" w:cs="黑体"/>
          <w:sz w:val="21"/>
          <w:szCs w:val="21"/>
        </w:rPr>
        <w:t>二、</w:t>
      </w:r>
      <w:r>
        <w:rPr>
          <w:rFonts w:hint="eastAsia" w:ascii="黑体" w:hAnsi="宋体" w:eastAsia="黑体" w:cs="黑体"/>
          <w:sz w:val="21"/>
          <w:szCs w:val="21"/>
          <w:lang w:val="en-US" w:eastAsia="zh-CN"/>
        </w:rPr>
        <w:t>决策</w:t>
      </w:r>
      <w:r>
        <w:rPr>
          <w:rFonts w:hint="eastAsia" w:ascii="黑体" w:hAnsi="宋体" w:eastAsia="黑体" w:cs="黑体"/>
          <w:sz w:val="21"/>
          <w:szCs w:val="21"/>
        </w:rPr>
        <w:t>依据</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pPr>
      <w:r>
        <w:rPr>
          <w:rFonts w:hint="eastAsia" w:ascii="仿宋" w:hAnsi="仿宋" w:eastAsia="仿宋" w:cs="仿宋"/>
          <w:sz w:val="21"/>
          <w:szCs w:val="21"/>
        </w:rPr>
        <w:t> </w:t>
      </w:r>
      <w:r>
        <w:rPr>
          <w:rFonts w:hint="eastAsia" w:ascii="黑体" w:hAnsi="宋体" w:eastAsia="黑体" w:cs="黑体"/>
          <w:sz w:val="21"/>
          <w:szCs w:val="21"/>
        </w:rPr>
        <w:t>《</w:t>
      </w:r>
      <w:r>
        <w:rPr>
          <w:rFonts w:hint="eastAsia" w:ascii="仿宋" w:hAnsi="仿宋" w:eastAsia="仿宋" w:cs="仿宋"/>
          <w:sz w:val="21"/>
          <w:szCs w:val="21"/>
        </w:rPr>
        <w:t>国家发展改革委关于创新和完善促进绿色发展价格机制的意见》（发改价格规〔2018〕943号</w:t>
      </w:r>
      <w:r>
        <w:rPr>
          <w:rFonts w:hint="eastAsia" w:ascii="黑体" w:hAnsi="宋体" w:eastAsia="黑体" w:cs="黑体"/>
          <w:sz w:val="21"/>
          <w:szCs w:val="21"/>
        </w:rPr>
        <w:t>）、《</w:t>
      </w:r>
      <w:r>
        <w:rPr>
          <w:rFonts w:hint="eastAsia" w:ascii="仿宋" w:hAnsi="仿宋" w:eastAsia="仿宋" w:cs="仿宋"/>
          <w:sz w:val="21"/>
          <w:szCs w:val="21"/>
        </w:rPr>
        <w:t>山东省人民政府关于开展“亩产效益”评价改革工作的指导意见》（鲁政字[2019]235号）、《山东省发展和改革委员会关于对“亩产效益”评价企业试行差别化价格政策的通知》（鲁发改价格[2020]51号）</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pPr>
      <w:r>
        <w:rPr>
          <w:rFonts w:hint="eastAsia" w:ascii="黑体" w:hAnsi="宋体" w:eastAsia="黑体" w:cs="黑体"/>
          <w:sz w:val="21"/>
          <w:szCs w:val="21"/>
        </w:rPr>
        <w:t>三、政策过程</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15" w:lineRule="atLeast"/>
        <w:ind w:left="0" w:right="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按照《山东省人民政府关于开展“亩产效益”评价改革工作的指导意见》和《山东省发展和改革委员会关于对“亩产效益”评价企业试行差别化价格政策的通知》等文件要求，区发展和改革局结合我区实际起草了《莱芜区发展和改革局关于对“亩产效益”评价企业试行差别化价格政策的通知》（征求意见稿）。通过区政府网站悬挂，向社会公开征求了意见，同时征求了区工信局、区财政局、区市场监管局、各功能区、各镇街等部门意见，根据各单位反馈的意见建议进一步修改完善形成定稿。</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right="0" w:firstLine="420" w:firstLineChars="200"/>
        <w:textAlignment w:val="auto"/>
        <w:rPr>
          <w:rFonts w:hint="eastAsia" w:ascii="黑体" w:hAnsi="宋体" w:eastAsia="黑体" w:cs="黑体"/>
          <w:sz w:val="21"/>
          <w:szCs w:val="21"/>
          <w:lang w:val="en-US" w:eastAsia="zh-CN"/>
        </w:rPr>
      </w:pPr>
      <w:r>
        <w:rPr>
          <w:rFonts w:hint="eastAsia" w:ascii="黑体" w:hAnsi="宋体" w:eastAsia="黑体" w:cs="黑体"/>
          <w:sz w:val="21"/>
          <w:szCs w:val="21"/>
          <w:lang w:val="en-US" w:eastAsia="zh-CN"/>
        </w:rPr>
        <w:t>四、出台目的</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70" w:lineRule="atLeast"/>
        <w:ind w:left="0" w:right="0"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目的是通过分类施策、综合施策，试行用电、用水、用气差别化价格政策，倒逼我区限制发展类企业加快转型升级，提高全要素生产率，促进我区新旧动能转换和经济高质量发展。</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right="0" w:firstLine="420" w:firstLineChars="200"/>
        <w:textAlignment w:val="auto"/>
        <w:rPr>
          <w:rFonts w:hint="default" w:eastAsia="黑体"/>
          <w:lang w:val="en-US" w:eastAsia="zh-CN"/>
        </w:rPr>
      </w:pPr>
      <w:r>
        <w:rPr>
          <w:rFonts w:hint="eastAsia" w:ascii="黑体" w:hAnsi="宋体" w:eastAsia="黑体" w:cs="黑体"/>
          <w:sz w:val="21"/>
          <w:szCs w:val="21"/>
          <w:lang w:val="en-US" w:eastAsia="zh-CN"/>
        </w:rPr>
        <w:t>五</w:t>
      </w:r>
      <w:r>
        <w:rPr>
          <w:rFonts w:hint="eastAsia" w:ascii="黑体" w:hAnsi="宋体" w:eastAsia="黑体" w:cs="黑体"/>
          <w:sz w:val="21"/>
          <w:szCs w:val="21"/>
        </w:rPr>
        <w:t>、</w:t>
      </w:r>
      <w:r>
        <w:rPr>
          <w:rFonts w:hint="eastAsia" w:ascii="黑体" w:hAnsi="宋体" w:eastAsia="黑体" w:cs="黑体"/>
          <w:sz w:val="21"/>
          <w:szCs w:val="21"/>
          <w:lang w:val="en-US" w:eastAsia="zh-CN"/>
        </w:rPr>
        <w:t>重要举措</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ascii="楷体" w:hAnsi="楷体" w:eastAsia="楷体" w:cs="楷体"/>
          <w:sz w:val="21"/>
          <w:szCs w:val="21"/>
        </w:rPr>
        <w:t>（一）差别化电价</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仿宋" w:hAnsi="仿宋" w:eastAsia="仿宋" w:cs="仿宋"/>
          <w:sz w:val="21"/>
          <w:szCs w:val="21"/>
        </w:rPr>
        <w:t>差别化电价标准由国网莱芜供电公司按《省发展改革委关于对“亩产效益”评价企业试行差别化价格政策的通知》（鲁发改价格〔2020〕51号）执行。</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楷体" w:hAnsi="楷体" w:eastAsia="楷体" w:cs="楷体"/>
          <w:sz w:val="21"/>
          <w:szCs w:val="21"/>
        </w:rPr>
        <w:t>（二）差别化水价、管道天然气价格</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仿宋" w:hAnsi="仿宋" w:eastAsia="仿宋" w:cs="仿宋"/>
          <w:sz w:val="21"/>
          <w:szCs w:val="21"/>
        </w:rPr>
        <w:t>1.对区域内“亩产效益”评价改革列入D类的企业，差别化水价在现行基本水价基础上加收1元/立方米，连续两年列入D类的企业，差别化水价在现行基本水价基础上加收2元/立方米，连续三年列入D类的企业，差别化水价在现行基本水价基础上加收3元/立方米。对用水量超过核定用水计划的，仍按《关于实施莱芜市城区非居民用水超定额（计划）累进加价制度的通知》（莱价字〔2018〕13 号）执行。</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仿宋" w:hAnsi="仿宋" w:eastAsia="仿宋" w:cs="仿宋"/>
          <w:sz w:val="21"/>
          <w:szCs w:val="21"/>
        </w:rPr>
        <w:t>2.对区域内“亩产效益”评价改革列入D类的企业，差别化管道天然气价格在现行结算价格基础上每立方米加价1元，连续两年列入D类的企业，差别化管道天然气价格在现行结算价格基础上每立方米加价2元，连续三年列入D类的企业，差别化管道天然气价格在现行结算价格基础上每立方米加价3元。</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黑体" w:hAnsi="宋体" w:eastAsia="黑体" w:cs="黑体"/>
          <w:sz w:val="21"/>
          <w:szCs w:val="21"/>
          <w:lang w:val="en-US" w:eastAsia="zh-CN"/>
        </w:rPr>
        <w:t>六</w:t>
      </w:r>
      <w:r>
        <w:rPr>
          <w:rFonts w:hint="eastAsia" w:ascii="黑体" w:hAnsi="宋体" w:eastAsia="黑体" w:cs="黑体"/>
          <w:sz w:val="21"/>
          <w:szCs w:val="21"/>
        </w:rPr>
        <w:t>、关于实行日期的说明</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该文件的公布日期是2020年7月22日，施行日期是2020年9月1日至2023年8月31日。</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rPr>
          <w:rFonts w:hint="eastAsia" w:ascii="黑体" w:hAnsi="宋体" w:eastAsia="黑体" w:cs="黑体"/>
          <w:sz w:val="21"/>
          <w:szCs w:val="21"/>
        </w:rPr>
      </w:pPr>
      <w:r>
        <w:rPr>
          <w:rFonts w:hint="eastAsia" w:ascii="黑体" w:hAnsi="宋体" w:eastAsia="黑体" w:cs="黑体"/>
          <w:sz w:val="21"/>
          <w:szCs w:val="21"/>
          <w:lang w:val="en-US" w:eastAsia="zh-CN"/>
        </w:rPr>
        <w:t>七</w:t>
      </w:r>
      <w:r>
        <w:rPr>
          <w:rFonts w:hint="eastAsia" w:ascii="黑体" w:hAnsi="宋体" w:eastAsia="黑体" w:cs="黑体"/>
          <w:sz w:val="21"/>
          <w:szCs w:val="21"/>
        </w:rPr>
        <w:t>、解读机构及咨询方式</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rPr>
          <w:rFonts w:hint="eastAsia" w:ascii="仿宋" w:hAnsi="仿宋" w:eastAsia="仿宋" w:cs="仿宋"/>
          <w:sz w:val="21"/>
          <w:szCs w:val="21"/>
        </w:rPr>
      </w:pPr>
      <w:r>
        <w:rPr>
          <w:rFonts w:hint="eastAsia" w:ascii="仿宋" w:hAnsi="仿宋" w:eastAsia="仿宋" w:cs="仿宋"/>
          <w:sz w:val="21"/>
          <w:szCs w:val="21"/>
        </w:rPr>
        <w:t>解读机构：济南市莱芜区发展和改革局</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rPr>
          <w:rFonts w:hint="default" w:ascii="仿宋" w:hAnsi="仿宋" w:eastAsia="仿宋" w:cs="仿宋"/>
          <w:sz w:val="21"/>
          <w:szCs w:val="21"/>
          <w:lang w:val="en-US" w:eastAsia="zh-CN"/>
        </w:rPr>
      </w:pPr>
      <w:r>
        <w:rPr>
          <w:rFonts w:hint="eastAsia" w:ascii="仿宋" w:hAnsi="仿宋" w:eastAsia="仿宋" w:cs="仿宋"/>
          <w:sz w:val="21"/>
          <w:szCs w:val="21"/>
        </w:rPr>
        <w:t>具体联系人：</w:t>
      </w:r>
      <w:r>
        <w:rPr>
          <w:rFonts w:hint="eastAsia" w:ascii="仿宋" w:hAnsi="仿宋" w:eastAsia="仿宋" w:cs="仿宋"/>
          <w:sz w:val="21"/>
          <w:szCs w:val="21"/>
          <w:lang w:val="en-US" w:eastAsia="zh-CN"/>
        </w:rPr>
        <w:t>冯武刚</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240" w:lineRule="atLeast"/>
        <w:ind w:left="0" w:right="0" w:firstLine="420" w:firstLineChars="200"/>
        <w:textAlignment w:val="auto"/>
      </w:pPr>
      <w:r>
        <w:rPr>
          <w:rFonts w:hint="eastAsia" w:ascii="仿宋" w:hAnsi="仿宋" w:eastAsia="仿宋" w:cs="仿宋"/>
          <w:sz w:val="21"/>
          <w:szCs w:val="21"/>
        </w:rPr>
        <w:t>咨询电话：0531-7611</w:t>
      </w:r>
      <w:r>
        <w:rPr>
          <w:rFonts w:hint="eastAsia" w:ascii="仿宋" w:hAnsi="仿宋" w:eastAsia="仿宋" w:cs="仿宋"/>
          <w:sz w:val="21"/>
          <w:szCs w:val="21"/>
          <w:lang w:val="en-US" w:eastAsia="zh-CN"/>
        </w:rPr>
        <w:t>0190</w:t>
      </w:r>
      <w:r>
        <w:rPr>
          <w:rFonts w:hint="eastAsia" w:ascii="仿宋" w:hAnsi="仿宋" w:eastAsia="仿宋" w:cs="仿宋"/>
          <w:sz w:val="21"/>
          <w:szCs w:val="21"/>
        </w:rPr>
        <w:t> </w:t>
      </w:r>
    </w:p>
    <w:p>
      <w:pPr>
        <w:pStyle w:val="2"/>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315" w:lineRule="atLeast"/>
        <w:ind w:left="0" w:right="0" w:firstLine="480" w:firstLineChars="200"/>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xNDNjYzc5Yjk0NmE5MDU4OWUyMDA0MTUzODhlZjUifQ=="/>
  </w:docVars>
  <w:rsids>
    <w:rsidRoot w:val="00000000"/>
    <w:rsid w:val="004060FF"/>
    <w:rsid w:val="0F161453"/>
    <w:rsid w:val="18432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2023-08-22T08:09:00Z</dcterms:created>
  <dc:creator>lenovo</dc:creator>
  <cp:lastModifiedBy>lenovo</cp:lastModifiedBy>
  <dcterms:modified xsi:type="dcterms:W3CDTF">2023-08-23T10:26:48Z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C0FBE3F659FB4FAABEAA2D0D9A70F144_12</vt:lpwstr>
  </property>
</Properties>
</file>