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60"/>
          <w:tab w:val="left" w:pos="6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方正小标宋简体" w:cs="Times New Roman"/>
          <w:color w:val="FF0000"/>
          <w:spacing w:val="113"/>
          <w:w w:val="56"/>
          <w:sz w:val="80"/>
          <w:szCs w:val="80"/>
        </w:rPr>
      </w:pPr>
      <w:r>
        <w:rPr>
          <w:sz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410845</wp:posOffset>
                </wp:positionV>
                <wp:extent cx="1837055" cy="1771015"/>
                <wp:effectExtent l="0" t="0" r="10795" b="6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56910" y="2363470"/>
                          <a:ext cx="1837055" cy="1771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  <w:color w:val="FF0000"/>
                                <w:w w:val="56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56"/>
                                <w:sz w:val="144"/>
                                <w:szCs w:val="144"/>
                              </w:rPr>
                              <w:t>文件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4pt;margin-top:32.35pt;height:139.45pt;width:144.65pt;z-index:251659264;v-text-anchor:middle;mso-width-relative:page;mso-height-relative:page;" fillcolor="#FFFFFF [3212]" filled="t" stroked="f" coordsize="21600,21600" o:gfxdata="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2QqrydYAAAALAQAADwAAAAAAAAABACAAAAAiAAAAZHJzL2Rvd25y&#10;ZXYueG1sUEsBAhQAFAAAAAgAh07iQA8JlPtyAgAAzAQAAA4AAAAAAAAAAQAgAAAAJQEAAGRycy9l&#10;Mm9Eb2MueG1sUEsFBgAAAAAGAAYAWQEAAAkG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  <w:color w:val="FF0000"/>
                          <w:w w:val="56"/>
                          <w:sz w:val="144"/>
                          <w:szCs w:val="1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56"/>
                          <w:sz w:val="144"/>
                          <w:szCs w:val="144"/>
                        </w:rPr>
                        <w:t>文件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FF0000"/>
          <w:spacing w:val="113"/>
          <w:w w:val="56"/>
          <w:sz w:val="80"/>
          <w:szCs w:val="80"/>
        </w:rPr>
        <w:t>济南市莱芜区农业农村局</w:t>
      </w:r>
    </w:p>
    <w:p>
      <w:pPr>
        <w:keepNext w:val="0"/>
        <w:keepLines w:val="0"/>
        <w:pageBreakBefore w:val="0"/>
        <w:widowControl w:val="0"/>
        <w:tabs>
          <w:tab w:val="left" w:pos="6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方正小标宋简体" w:cs="Times New Roman"/>
          <w:color w:val="FF0000"/>
          <w:spacing w:val="193"/>
          <w:w w:val="5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193"/>
          <w:w w:val="56"/>
          <w:sz w:val="80"/>
          <w:szCs w:val="80"/>
        </w:rPr>
        <w:t>济南市莱芜区财政局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方正小标宋简体" w:cs="Times New Roman"/>
          <w:color w:val="FF0000"/>
          <w:spacing w:val="60"/>
          <w:w w:val="5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56"/>
          <w:sz w:val="80"/>
          <w:szCs w:val="80"/>
        </w:rPr>
        <w:t>济南市莱芜区市场监督管理局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方正小标宋简体" w:cs="Times New Roman"/>
          <w:color w:val="FF0000"/>
          <w:spacing w:val="62"/>
          <w:w w:val="5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2"/>
          <w:w w:val="56"/>
          <w:sz w:val="80"/>
          <w:szCs w:val="80"/>
        </w:rPr>
        <w:t>济南市莱芜区行政审批服务局</w:t>
      </w:r>
    </w:p>
    <w:p>
      <w:pPr>
        <w:keepNext w:val="0"/>
        <w:keepLines w:val="0"/>
        <w:pageBreakBefore w:val="0"/>
        <w:widowControl w:val="0"/>
        <w:tabs>
          <w:tab w:val="left" w:pos="6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方正小标宋简体" w:cs="Times New Roman"/>
          <w:color w:val="FF0000"/>
          <w:spacing w:val="62"/>
          <w:w w:val="56"/>
          <w:sz w:val="80"/>
          <w:szCs w:val="80"/>
        </w:rPr>
      </w:pPr>
      <w:r>
        <w:rPr>
          <w:rFonts w:hint="eastAsia" w:ascii="Times New Roman" w:hAnsi="Times New Roman" w:eastAsia="方正小标宋简体" w:cs="Times New Roman"/>
          <w:color w:val="FF0000"/>
          <w:spacing w:val="23"/>
          <w:w w:val="60"/>
          <w:sz w:val="80"/>
          <w:szCs w:val="80"/>
          <w:lang w:val="en-US" w:eastAsia="zh-CN"/>
        </w:rPr>
        <w:t>济南</w:t>
      </w:r>
      <w:r>
        <w:rPr>
          <w:rFonts w:hint="default" w:ascii="Times New Roman" w:hAnsi="Times New Roman" w:eastAsia="方正小标宋简体" w:cs="Times New Roman"/>
          <w:color w:val="FF0000"/>
          <w:spacing w:val="23"/>
          <w:w w:val="60"/>
          <w:sz w:val="80"/>
          <w:szCs w:val="80"/>
        </w:rPr>
        <w:t>市莱芜区</w:t>
      </w:r>
      <w:r>
        <w:rPr>
          <w:rFonts w:hint="default" w:ascii="Times New Roman" w:hAnsi="Times New Roman" w:eastAsia="方正小标宋简体" w:cs="Times New Roman"/>
          <w:color w:val="FF0000"/>
          <w:spacing w:val="23"/>
          <w:w w:val="60"/>
          <w:sz w:val="80"/>
          <w:szCs w:val="80"/>
          <w:lang w:eastAsia="zh-CN"/>
        </w:rPr>
        <w:t>金融</w:t>
      </w:r>
      <w:r>
        <w:rPr>
          <w:rFonts w:hint="eastAsia" w:ascii="Times New Roman" w:hAnsi="Times New Roman" w:eastAsia="方正小标宋简体" w:cs="Times New Roman"/>
          <w:color w:val="FF0000"/>
          <w:spacing w:val="23"/>
          <w:w w:val="60"/>
          <w:sz w:val="80"/>
          <w:szCs w:val="80"/>
          <w:lang w:val="en-US" w:eastAsia="zh-CN"/>
        </w:rPr>
        <w:t>事业发展中心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莱芜区农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字〔202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13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102235</wp:posOffset>
                </wp:positionV>
                <wp:extent cx="5615940" cy="0"/>
                <wp:effectExtent l="0" t="10795" r="381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5pt;margin-top:8.05pt;height:0pt;width:442.2pt;z-index:251661312;mso-width-relative:page;mso-height-relative:page;" filled="f" stroked="t" coordsize="21600,21600" o:gfxdata="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nE8VR1gAAAAgBAAAPAAAAAAAAAAEAIAAAACIAAABkcnMvZG93bnJldi54bWxQSwEC&#10;FAAUAAAACACHTuJAbV4uifYBAADlAwAADgAAAAAAAAABACAAAAAlAQAAZHJzL2Uyb0RvYy54bWxQ&#10;SwUGAAAAAAYABgBZAQAAj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关于印发《莱芜区家庭农场区级示范场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认定办法》的通知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16"/>
          <w:szCs w:val="1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各街道（镇）: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为充分发挥家庭农场在乡村振兴战略中的重要作用，加快培育农业农村发展新动能，规范我区家庭农场区级示范场认定工作，根据省、市相关文件精神，研究制定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《莱芜区家庭农场区级示范场认定办法》，现印发给你们，请认真贯彻执行。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济南市莱芜区农业农村局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济南市莱芜区财政局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pacing w:val="-2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val="en-US" w:eastAsia="zh-CN"/>
        </w:rPr>
        <w:t>济南市莱芜区市场监督管理局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 w:eastAsia="zh-CN"/>
        </w:rPr>
        <w:t>济南市莱芜区金融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val="en-US" w:eastAsia="zh-CN"/>
        </w:rPr>
        <w:t xml:space="preserve">事业发展中心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济南市莱芜区行政审批服务局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center"/>
        <w:textAlignment w:val="auto"/>
        <w:rPr>
          <w:rFonts w:hint="eastAsia" w:ascii="方正小标宋简体" w:hAnsi="宋体" w:eastAsia="方正小标宋简体" w:cs="宋体"/>
          <w:bCs/>
          <w:spacing w:val="22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22"/>
          <w:kern w:val="0"/>
          <w:sz w:val="44"/>
          <w:szCs w:val="44"/>
        </w:rPr>
        <w:t>莱芜</w:t>
      </w:r>
      <w:r>
        <w:rPr>
          <w:rFonts w:hint="eastAsia" w:ascii="方正小标宋简体" w:hAnsi="宋体" w:eastAsia="方正小标宋简体" w:cs="宋体"/>
          <w:bCs/>
          <w:spacing w:val="22"/>
          <w:kern w:val="0"/>
          <w:sz w:val="44"/>
          <w:szCs w:val="44"/>
          <w:lang w:eastAsia="zh-CN"/>
        </w:rPr>
        <w:t>区</w:t>
      </w:r>
      <w:r>
        <w:rPr>
          <w:rFonts w:hint="eastAsia" w:ascii="方正小标宋简体" w:hAnsi="宋体" w:eastAsia="方正小标宋简体" w:cs="宋体"/>
          <w:bCs/>
          <w:spacing w:val="22"/>
          <w:kern w:val="0"/>
          <w:sz w:val="44"/>
          <w:szCs w:val="44"/>
          <w:lang w:val="en-US" w:eastAsia="zh-CN"/>
        </w:rPr>
        <w:t>家庭农场</w:t>
      </w:r>
      <w:r>
        <w:rPr>
          <w:rFonts w:hint="eastAsia" w:ascii="方正小标宋简体" w:hAnsi="宋体" w:eastAsia="方正小标宋简体" w:cs="宋体"/>
          <w:bCs/>
          <w:spacing w:val="22"/>
          <w:kern w:val="0"/>
          <w:sz w:val="44"/>
          <w:szCs w:val="44"/>
          <w:lang w:eastAsia="zh-CN"/>
        </w:rPr>
        <w:t>区级示范场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center"/>
        <w:textAlignment w:val="auto"/>
        <w:rPr>
          <w:rFonts w:hint="eastAsia" w:ascii="方正小标宋简体" w:hAnsi="宋体" w:eastAsia="方正小标宋简体" w:cs="宋体"/>
          <w:bCs/>
          <w:spacing w:val="22"/>
          <w:kern w:val="0"/>
          <w:sz w:val="22"/>
          <w:szCs w:val="22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22"/>
          <w:kern w:val="0"/>
          <w:sz w:val="44"/>
          <w:szCs w:val="44"/>
          <w:lang w:eastAsia="zh-CN"/>
        </w:rPr>
        <w:t>认定办法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6"/>
          <w:szCs w:val="36"/>
          <w:shd w:val="clear" w:color="auto" w:fill="FEFEFE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EFEF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EFEFE"/>
          <w:lang w:val="en-US" w:eastAsia="zh-CN" w:bidi="ar-SA"/>
        </w:rPr>
        <w:t>第一章  总 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shd w:val="clear" w:color="auto" w:fill="FEFEFE"/>
        </w:rPr>
        <w:t>第一条</w:t>
      </w:r>
      <w:r>
        <w:rPr>
          <w:rFonts w:hint="eastAsia" w:ascii="华文楷体" w:hAnsi="华文楷体" w:eastAsia="华文楷体" w:cs="华文楷体"/>
          <w:b/>
          <w:color w:val="4C4C4C"/>
          <w:kern w:val="0"/>
          <w:sz w:val="32"/>
          <w:szCs w:val="32"/>
          <w:shd w:val="clear" w:color="auto" w:fill="FEFEF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为贯彻落实中央、省、市关于创新农村经营体制机制，加快培育新型农业经营主体的有关要求，按照</w:t>
      </w:r>
      <w:r>
        <w:rPr>
          <w:rFonts w:hint="eastAsia" w:ascii="仿宋_GB2312" w:eastAsia="仿宋_GB2312"/>
          <w:sz w:val="32"/>
          <w:szCs w:val="32"/>
        </w:rPr>
        <w:t>济南市农业农村局</w:t>
      </w:r>
      <w:r>
        <w:rPr>
          <w:rFonts w:hint="eastAsia" w:ascii="仿宋_GB2312" w:hAnsi="楷体_GB2312" w:eastAsia="仿宋_GB2312" w:cs="楷体_GB2312"/>
          <w:sz w:val="32"/>
          <w:szCs w:val="32"/>
        </w:rPr>
        <w:t>《关于推进家庭农场培育行动的实施方案》（济农委办发</w:t>
      </w:r>
      <w:r>
        <w:rPr>
          <w:rFonts w:hint="eastAsia" w:ascii="仿宋_GB2312" w:eastAsia="仿宋_GB2312"/>
          <w:sz w:val="32"/>
          <w:szCs w:val="32"/>
        </w:rPr>
        <w:t>〔2020〕</w:t>
      </w:r>
      <w:r>
        <w:rPr>
          <w:rFonts w:hint="eastAsia" w:ascii="仿宋_GB2312" w:hAnsi="楷体_GB2312" w:eastAsia="仿宋_GB2312" w:cs="楷体_GB2312"/>
          <w:sz w:val="32"/>
          <w:szCs w:val="32"/>
        </w:rPr>
        <w:t>20号）有关要求</w:t>
      </w:r>
      <w:r>
        <w:rPr>
          <w:rFonts w:hint="eastAsia" w:ascii="仿宋_GB2312" w:hAnsi="宋体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规范家庭农场发展，推进家庭农场培育，促进高质量发展，实现省、市、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kern w:val="0"/>
          <w:sz w:val="32"/>
          <w:szCs w:val="32"/>
        </w:rPr>
        <w:t>“三级联创”，</w:t>
      </w:r>
      <w:r>
        <w:rPr>
          <w:rFonts w:hint="eastAsia" w:ascii="仿宋_GB2312" w:hAnsi="宋体" w:eastAsia="仿宋_GB2312"/>
          <w:kern w:val="0"/>
          <w:sz w:val="32"/>
          <w:szCs w:val="32"/>
        </w:rPr>
        <w:t>结合我区实际，制定本办法。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shd w:val="clear" w:color="auto" w:fill="FEFEFE"/>
          <w:lang w:val="en-US" w:eastAsia="zh-CN" w:bidi="ar-SA"/>
        </w:rPr>
        <w:t>第二条</w:t>
      </w:r>
      <w:r>
        <w:rPr>
          <w:rFonts w:hint="eastAsia" w:ascii="华文楷体" w:hAnsi="华文楷体" w:eastAsia="华文楷体" w:cs="华文楷体"/>
          <w:b/>
          <w:color w:val="4C4C4C"/>
          <w:kern w:val="0"/>
          <w:sz w:val="32"/>
          <w:szCs w:val="32"/>
          <w:shd w:val="clear" w:color="auto" w:fill="FEFEFE"/>
          <w:lang w:val="en-US" w:eastAsia="zh-CN" w:bidi="ar-SA"/>
        </w:rPr>
        <w:t xml:space="preserve">  </w:t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t>本办法所称的家庭农场是指：以农户家庭为基本单位，以家庭成员为主要劳动力，从事农业生产经营，并以农业收入为家庭主要收入来源的新型农业经营主体。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/>
        <w:jc w:val="both"/>
        <w:textAlignment w:val="auto"/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华文楷体" w:hAnsi="华文楷体" w:eastAsia="华文楷体" w:cs="华文楷体"/>
          <w:b/>
          <w:color w:val="4C4C4C"/>
          <w:kern w:val="0"/>
          <w:sz w:val="32"/>
          <w:szCs w:val="32"/>
          <w:shd w:val="clear" w:color="auto" w:fill="FEFEFE"/>
          <w:lang w:val="en-US" w:eastAsia="zh-CN" w:bidi="ar-SA"/>
        </w:rPr>
        <w:t>　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shd w:val="clear" w:color="auto" w:fill="FEFEFE"/>
          <w:lang w:val="en-US" w:eastAsia="zh-CN" w:bidi="ar-SA"/>
        </w:rPr>
        <w:t>第三条</w:t>
      </w:r>
      <w:r>
        <w:rPr>
          <w:rFonts w:hint="eastAsia" w:ascii="华文楷体" w:hAnsi="华文楷体" w:eastAsia="华文楷体" w:cs="华文楷体"/>
          <w:b/>
          <w:color w:val="4C4C4C"/>
          <w:kern w:val="0"/>
          <w:sz w:val="32"/>
          <w:szCs w:val="32"/>
          <w:shd w:val="clear" w:color="auto" w:fill="FEFEFE"/>
          <w:lang w:val="en-US" w:eastAsia="zh-CN" w:bidi="ar-SA"/>
        </w:rPr>
        <w:t xml:space="preserve">  </w:t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t>凡在本区辖区内从事农业生产经营的家庭农场，均可按照本办法申报认定成为家庭农场区级示范场（以下简称“区级示范场”）。区农业农村主管部门负责区级示范场的组织认定及指导工作。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5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shd w:val="clear" w:color="auto" w:fill="FEFEF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shd w:val="clear" w:color="auto" w:fill="FEFEFE"/>
          <w:lang w:val="en-US" w:eastAsia="zh-CN" w:bidi="ar-SA"/>
        </w:rPr>
        <w:t>第四条</w:t>
      </w:r>
      <w:r>
        <w:rPr>
          <w:rFonts w:hint="eastAsia" w:ascii="华文楷体" w:hAnsi="华文楷体" w:eastAsia="华文楷体" w:cs="华文楷体"/>
          <w:b/>
          <w:color w:val="4C4C4C"/>
          <w:kern w:val="0"/>
          <w:sz w:val="32"/>
          <w:szCs w:val="32"/>
          <w:shd w:val="clear" w:color="auto" w:fill="FEFEFE"/>
          <w:lang w:val="en-US" w:eastAsia="zh-CN" w:bidi="ar-SA"/>
        </w:rPr>
        <w:t xml:space="preserve">  </w:t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t>区级示范场认定工作坚持公开、公平、公正原则。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18"/>
          <w:szCs w:val="18"/>
          <w:shd w:val="clear" w:color="auto" w:fill="FEFEF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shd w:val="clear" w:color="auto" w:fill="FEFEF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EFEFE"/>
          <w:lang w:val="en-US" w:eastAsia="zh-CN" w:bidi="ar-SA"/>
        </w:rPr>
        <w:t>第二章  认定条件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shd w:val="clear" w:color="auto" w:fill="FEFEFE"/>
          <w:lang w:val="en-US" w:eastAsia="zh-CN" w:bidi="ar-SA"/>
        </w:rPr>
        <w:t>第五条</w:t>
      </w:r>
      <w:r>
        <w:rPr>
          <w:rFonts w:hint="eastAsia" w:ascii="华文楷体" w:hAnsi="华文楷体" w:eastAsia="华文楷体" w:cs="华文楷体"/>
          <w:b/>
          <w:color w:val="4C4C4C"/>
          <w:kern w:val="0"/>
          <w:sz w:val="32"/>
          <w:szCs w:val="32"/>
          <w:shd w:val="clear" w:color="auto" w:fill="FEFEFE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区级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示范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评选对象为在我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部门正式登记注册的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家庭农场</w:t>
      </w:r>
      <w:r>
        <w:rPr>
          <w:rFonts w:hint="eastAsia" w:ascii="仿宋_GB2312" w:eastAsia="仿宋_GB2312"/>
          <w:sz w:val="32"/>
          <w:szCs w:val="32"/>
        </w:rPr>
        <w:t>，未登记注册的不列入评选范围。对达到</w:t>
      </w:r>
      <w:r>
        <w:rPr>
          <w:rFonts w:hint="eastAsia" w:ascii="仿宋_GB2312" w:eastAsia="仿宋_GB2312"/>
          <w:sz w:val="32"/>
          <w:szCs w:val="32"/>
          <w:lang w:eastAsia="zh-CN"/>
        </w:rPr>
        <w:t>区级</w:t>
      </w:r>
      <w:r>
        <w:rPr>
          <w:rFonts w:hint="eastAsia" w:ascii="仿宋_GB2312" w:eastAsia="仿宋_GB2312"/>
          <w:sz w:val="32"/>
          <w:szCs w:val="32"/>
        </w:rPr>
        <w:t>示范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场</w:t>
      </w:r>
      <w:r>
        <w:rPr>
          <w:rFonts w:hint="eastAsia" w:ascii="仿宋_GB2312" w:eastAsia="仿宋_GB2312"/>
          <w:sz w:val="32"/>
          <w:szCs w:val="32"/>
        </w:rPr>
        <w:t>标准并在本地域农业主管部门登记备案的，可及时列入评选对象。对不在农业主管部门登记备案的，不予列入评选范围。</w:t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t>认定为区级示范场必须符合以下条件：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（一）基本条件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t>1、依法注册登记时间原则上不少于1年，生产经营1年以上，未被列入经营异常名录或异常状态，无违法不良记录，独立银行账户及税务账务无异常；   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t>2、有与生产经营相适应的固定场所、醒目的家庭农场标识；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t>3、以家庭成员为主要劳动力（不少于2人），常年雇工数量不超过家庭务农人员数量；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t>4、所经营的土地流转（租赁）年限不得低于3年。流转土地必须根据当地准入要求和相关规定，签订合法有效的农村土地流转（租赁）合同；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/>
        <w:jc w:val="both"/>
        <w:textAlignment w:val="auto"/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t>　　5、自主经营，有较为完整的财务收支记录；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t>6、生产经营记录规范，产品的生产、加工及销售过程必须符合《中华人民共和国农产品质量安全法》和《中华人民共和国环境保护法》等法律法规规定；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  <w:rPr>
          <w:rFonts w:hint="default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t>7、全国家庭农场名录系统完成“一码通”登记赋码且系统信息准确完善。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（二）经营规模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t>1、种植业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outlineLvl w:val="9"/>
        <w:rPr>
          <w:rFonts w:hint="default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从事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大田种植，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粮油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作物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种植面积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50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亩以上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；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果蔬、茶叶等特色经济作物在50亩以上，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从事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设施种植的，连片面积在30亩以上；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楷体_GB2312" w:eastAsia="仿宋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楷体_GB2312" w:eastAsia="仿宋_GB2312" w:cs="楷体_GB2312"/>
          <w:kern w:val="2"/>
          <w:sz w:val="32"/>
          <w:szCs w:val="32"/>
          <w:highlight w:val="none"/>
          <w:lang w:val="en-US" w:eastAsia="zh-CN" w:bidi="ar-SA"/>
        </w:rPr>
        <w:t>2、畜牧业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t>生猪年出栏达到200头以上，或能繁母猪10头以上；羊年出栏达到200只以上，或能繁母羊20只以上；肉牛年出栏达到40头以上，或能繁母牛10头以上，奶牛年存栏20头以上；肉禽年出栏4万羽以上，蛋禽年存栏4000羽以上；兔年出栏6000只以上，或存栏母兔200只以上；貂狐貉等特种养殖年出栏600只以上，或存栏母畜200只以上；蜂40箱以上；其他特色养殖年收入10万元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t>3、种养结合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t>主要产业规模达到上述标准下限的60%以上。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（三）生产经营规范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t>逐步实现生产管理标准化、生产过程机械化、主要产品品牌化和主要产品销售订单化，综合生产能力较强，土地产出率、劳动生产率和资源利用率较高。积极开展绿色食品、有机农产品或</w:t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instrText xml:space="preserve"> HYPERLINK "http://baike.baidu.com/view/2330929.htm" </w:instrText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t>农产品地理标志</w:t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t>认证和商标注册。市场营销手段和方法便捷有效，产品销售渠道稳定，逐步实现生产与销售订单化。产品质量好，农业投入品使用严格，完善生产记录，无质量安全事故等不良记录。符合此项条件的可优先予以支持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（四）示范带动效果显著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经济效益和生态效益好，农业可持续发展能力强。在科技运用、农业装备、生产技能、经营模式、管理水平等方面对周边农户具有较强的示范效应，并带动当地农民增收致富。按照绿色生态、循环高效的原则开展生产经营活动，生产过程严格按标准使用农业投入品，规范使用化肥、农药，农业资源利用率高，农业废弃物实行无害化处理，农业生态环境良好，农业可持续发展能力强。</w:t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 w:bidi="ar-SA"/>
        </w:rPr>
        <w:t>符合此项条件的可优先予以支持。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/>
        <w:jc w:val="center"/>
        <w:textAlignment w:val="auto"/>
        <w:rPr>
          <w:rFonts w:hint="eastAsia" w:ascii="仿宋_GB2312" w:hAnsi="微软雅黑" w:eastAsia="仿宋_GB2312"/>
          <w:color w:val="42424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EFEFE"/>
          <w:lang w:val="en-US" w:eastAsia="zh-CN" w:bidi="ar-SA"/>
        </w:rPr>
        <w:t>第三章  认定程序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第六条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 xml:space="preserve">  家庭农场区级示范场评审认定每年组织开展一次，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区农业农村主管部门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负责组织有关专业人员成立评审认定组，对各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街道</w:t>
      </w:r>
      <w:bookmarkStart w:id="0" w:name="_GoBack"/>
      <w:bookmarkEnd w:id="0"/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（镇）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推荐上报的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家庭农场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进行评审认定。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按以下程序进行：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（一）主体申报。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申报单位对照区级示范场认定标准，向注册登记所在地街道（镇）农业农村主管部门提交申请，提供以下材料：  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　　1、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《家庭农场区级示范场申报表》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（附件一）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2、家庭农场基本情况介绍和“一码通”二维码；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3、营业执照复印件；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4、土地承包、土地流转（租赁）合同复印件；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5、申请人身份证复印件；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6、生产经营有关财务账簿、生产记录复印件；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7、未从事非法金融活动承诺书；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8、其他证明材料（获奖证书、产品认证等）复印件。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（二）镇街审核上报。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 xml:space="preserve">街道（镇）农业农村主管部门负责审核申报材料真实性、准确性、完整性，组织人员现场勘查，对审核通过单位推荐上报，并报送以下材料：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街道（镇）正式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推荐文件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、区级示范场申报汇总表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（附件二）；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申报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单位区级示范场申报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hanging="160" w:hangingChars="5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/>
          <w:color w:val="424242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（三）区级复核。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区农业农村主管部门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负责对申报材料进行复核。征求市场监管、行政审批等部门意见，对各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街道（镇）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推荐上报的区级示范场进行评审认定。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（四）公示。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评审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结果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向社会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公示，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个工作日内若无异议，由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区农业农村主管部门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公布认定名单。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第七条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 xml:space="preserve">  有下列情形之一的，取消其区级示范场资格并向社会公布，不再享受相关政策扶持且两年内不得再次申报：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　　1、经核实提供虚假材料或存在舞弊行为的；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　　2、经营中违反国家产业政策，存在严重违法违纪行为的；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　　3、发生重大安全生产事故或重大农产品质量安全事故的；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/>
        <w:jc w:val="both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　　4、不按要求提供相关资料，未按规定报送企业年报的，拒绝参加抽查的。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/>
        <w:jc w:val="center"/>
        <w:textAlignment w:val="auto"/>
        <w:rPr>
          <w:rFonts w:hint="eastAsia" w:ascii="仿宋_GB2312" w:eastAsia="仿宋_GB2312" w:hAnsiTheme="minorHAnsi" w:cstheme="minorBidi"/>
          <w:kern w:val="2"/>
          <w:sz w:val="20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EFEFE"/>
          <w:lang w:val="en-US" w:eastAsia="zh-CN" w:bidi="ar-SA"/>
        </w:rPr>
        <w:t>第四章  附则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第八条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 xml:space="preserve">  本办法由区农业农村主管部门负责解释。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第九条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 xml:space="preserve">  本办法自公布之日起施行。 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　　</w:t>
      </w:r>
    </w:p>
    <w:sectPr>
      <w:footerReference r:id="rId3" w:type="default"/>
      <w:pgSz w:w="11906" w:h="16838"/>
      <w:pgMar w:top="1440" w:right="1531" w:bottom="1440" w:left="158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-46990</wp:posOffset>
              </wp:positionV>
              <wp:extent cx="580390" cy="3670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67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36"/>
                            </w:rPr>
                          </w:pPr>
                          <w:r>
                            <w:rPr>
                              <w:sz w:val="24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7pt;height:28.9pt;width:45.7pt;mso-position-horizontal:outside;mso-position-horizontal-relative:margin;z-index:251660288;mso-width-relative:page;mso-height-relative:page;" filled="f" stroked="f" coordsize="21600,21600" o:gfxdata="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DG&#10;gnHWAAAABQEAAA8AAAAAAAAAAQAgAAAAIgAAAGRycy9kb3ducmV2LnhtbFBLAQIUABQAAAAIAIdO&#10;4kBXRmBG7AEAAMcDAAAOAAAAAAAAAAEAIAAAACU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sz w:val="24"/>
                        <w:szCs w:val="36"/>
                      </w:rPr>
                    </w:pPr>
                    <w:r>
                      <w:rPr>
                        <w:sz w:val="24"/>
                        <w:szCs w:val="36"/>
                      </w:rPr>
                      <w:t xml:space="preserve">— </w:t>
                    </w: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1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sz w:val="24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GNmYzA5YjEwNjU3ZTY3ZTc1Mjk0N2RiNmExMTQifQ=="/>
  </w:docVars>
  <w:rsids>
    <w:rsidRoot w:val="00705B91"/>
    <w:rsid w:val="000417A7"/>
    <w:rsid w:val="002529C1"/>
    <w:rsid w:val="005C6D09"/>
    <w:rsid w:val="00705B91"/>
    <w:rsid w:val="0073336E"/>
    <w:rsid w:val="008A76BC"/>
    <w:rsid w:val="009D23DB"/>
    <w:rsid w:val="00B65509"/>
    <w:rsid w:val="00FF6A12"/>
    <w:rsid w:val="056A5CBD"/>
    <w:rsid w:val="06101EAE"/>
    <w:rsid w:val="08316AA1"/>
    <w:rsid w:val="0983332C"/>
    <w:rsid w:val="0B474A34"/>
    <w:rsid w:val="0C6C63D2"/>
    <w:rsid w:val="0D004C93"/>
    <w:rsid w:val="15F03EDB"/>
    <w:rsid w:val="15F35395"/>
    <w:rsid w:val="19CC487B"/>
    <w:rsid w:val="1E5F5CBE"/>
    <w:rsid w:val="1EAC11A4"/>
    <w:rsid w:val="1F941FB7"/>
    <w:rsid w:val="217912BF"/>
    <w:rsid w:val="22D32548"/>
    <w:rsid w:val="24834F09"/>
    <w:rsid w:val="2D3E56A8"/>
    <w:rsid w:val="2D614E83"/>
    <w:rsid w:val="2F6A0F2F"/>
    <w:rsid w:val="33061370"/>
    <w:rsid w:val="38402F59"/>
    <w:rsid w:val="3C00721F"/>
    <w:rsid w:val="3C94492D"/>
    <w:rsid w:val="3CA04DE4"/>
    <w:rsid w:val="3CDF5C63"/>
    <w:rsid w:val="3E73334C"/>
    <w:rsid w:val="432D323D"/>
    <w:rsid w:val="45576E3F"/>
    <w:rsid w:val="4C3F0021"/>
    <w:rsid w:val="4E1877B9"/>
    <w:rsid w:val="4E465554"/>
    <w:rsid w:val="4EA43908"/>
    <w:rsid w:val="4F3A6A73"/>
    <w:rsid w:val="4F3F4BCC"/>
    <w:rsid w:val="508B5BEF"/>
    <w:rsid w:val="51D636DC"/>
    <w:rsid w:val="53B84F4D"/>
    <w:rsid w:val="564F2578"/>
    <w:rsid w:val="5A0D72EC"/>
    <w:rsid w:val="5C9F4EFC"/>
    <w:rsid w:val="67EE560D"/>
    <w:rsid w:val="69A3064C"/>
    <w:rsid w:val="6A62171E"/>
    <w:rsid w:val="6BD526E8"/>
    <w:rsid w:val="6CFC3CA5"/>
    <w:rsid w:val="706F1897"/>
    <w:rsid w:val="709A7A5C"/>
    <w:rsid w:val="71CA0B9B"/>
    <w:rsid w:val="75A24D2C"/>
    <w:rsid w:val="788E7D25"/>
    <w:rsid w:val="79B63EC7"/>
    <w:rsid w:val="79D5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2451</Words>
  <Characters>2490</Characters>
  <Lines>16</Lines>
  <Paragraphs>4</Paragraphs>
  <TotalTime>9</TotalTime>
  <ScaleCrop>false</ScaleCrop>
  <LinksUpToDate>false</LinksUpToDate>
  <CharactersWithSpaces>2579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2021-04-14T02:50:00Z</dcterms:created>
  <dc:creator>微软用户</dc:creator>
  <cp:lastModifiedBy>***</cp:lastModifiedBy>
  <cp:lastPrinted>2023-04-04T02:09:00Z</cp:lastPrinted>
  <dcterms:modified xsi:type="dcterms:W3CDTF">2023-04-06T01:04:20Z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862910E7B81F4C11BCD6192DE85B1C3F_13</vt:lpwstr>
  </property>
</Properties>
</file>