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2CC43" w14:textId="77777777" w:rsidR="002D4C84" w:rsidRDefault="00000000" w:rsidP="002D4C84">
      <w:pPr>
        <w:pStyle w:val="1"/>
        <w:adjustRightInd w:val="0"/>
        <w:snapToGrid w:val="0"/>
        <w:spacing w:before="100" w:after="100" w:line="240" w:lineRule="auto"/>
        <w:ind w:firstLineChars="0" w:firstLine="0"/>
        <w:jc w:val="center"/>
        <w:rPr>
          <w:rFonts w:hint="eastAsia"/>
        </w:rPr>
      </w:pPr>
      <w:r>
        <w:rPr>
          <w:rFonts w:hint="eastAsia"/>
        </w:rPr>
        <w:t>《雪野水库水域船舶码头优化提升专项规划（2024-2035年）》（征求意见稿）</w:t>
      </w:r>
    </w:p>
    <w:p w14:paraId="1F98372D" w14:textId="7690A8A5" w:rsidR="00D64D70" w:rsidRDefault="00000000" w:rsidP="002D4C84">
      <w:pPr>
        <w:pStyle w:val="1"/>
        <w:adjustRightInd w:val="0"/>
        <w:snapToGrid w:val="0"/>
        <w:spacing w:before="100" w:after="100" w:line="240" w:lineRule="auto"/>
        <w:ind w:firstLineChars="0" w:firstLine="0"/>
        <w:jc w:val="center"/>
        <w:rPr>
          <w:rFonts w:hint="eastAsia"/>
        </w:rPr>
      </w:pPr>
      <w:r>
        <w:rPr>
          <w:rFonts w:hint="eastAsia"/>
        </w:rPr>
        <w:t>主要内容</w:t>
      </w:r>
    </w:p>
    <w:p w14:paraId="2D89701F" w14:textId="77777777" w:rsidR="00D64D70" w:rsidRDefault="00D64D70">
      <w:pPr>
        <w:ind w:firstLine="600"/>
        <w:rPr>
          <w:rFonts w:hint="eastAsia"/>
        </w:rPr>
      </w:pPr>
    </w:p>
    <w:p w14:paraId="0C9F26A3" w14:textId="77777777" w:rsidR="00D64D70" w:rsidRDefault="00000000">
      <w:pPr>
        <w:pStyle w:val="2"/>
        <w:numPr>
          <w:ilvl w:val="0"/>
          <w:numId w:val="1"/>
        </w:numPr>
        <w:ind w:firstLine="643"/>
      </w:pPr>
      <w:r>
        <w:rPr>
          <w:rFonts w:hint="eastAsia"/>
        </w:rPr>
        <w:t>规划目的</w:t>
      </w:r>
    </w:p>
    <w:p w14:paraId="5099F8BB" w14:textId="77777777" w:rsidR="00D64D70" w:rsidRDefault="00000000">
      <w:pPr>
        <w:ind w:firstLine="600"/>
        <w:rPr>
          <w:rFonts w:hint="eastAsia"/>
        </w:rPr>
      </w:pPr>
      <w:r>
        <w:rPr>
          <w:rFonts w:hint="eastAsia"/>
        </w:rPr>
        <w:t>为提升雪野水库旅游形象，对雪野水库水域船舶码头进行优化提升，为主管部门管理雪野水库涉水面相关活动提供规划指导，以莱芜雪野风景名胜区总体规划为依据，对雪野水库水域船舶码头布局进行整体规划，促进文化旅游及水上运动事业发展，推动雪野湖及周边高质量发展。</w:t>
      </w:r>
    </w:p>
    <w:p w14:paraId="3DE7FCA5" w14:textId="77777777" w:rsidR="00D64D70" w:rsidRDefault="00000000">
      <w:pPr>
        <w:pStyle w:val="2"/>
        <w:numPr>
          <w:ilvl w:val="0"/>
          <w:numId w:val="1"/>
        </w:numPr>
        <w:ind w:firstLine="643"/>
      </w:pPr>
      <w:r>
        <w:rPr>
          <w:rFonts w:hint="eastAsia"/>
        </w:rPr>
        <w:t>规划范围与面积</w:t>
      </w:r>
    </w:p>
    <w:p w14:paraId="07D41033" w14:textId="77777777" w:rsidR="00D64D70" w:rsidRDefault="00000000">
      <w:pPr>
        <w:ind w:firstLine="600"/>
        <w:rPr>
          <w:rFonts w:hint="eastAsia"/>
        </w:rPr>
      </w:pPr>
      <w:r>
        <w:rPr>
          <w:rFonts w:hint="eastAsia"/>
        </w:rPr>
        <w:t>雪野水库河道管理线范围、雪野湖岸线及相关水陆域，包括主湖面周边环湖北路、环湖路、雪野大道、西环湖路以及雪野水库河道管理线围合的区域范围，规划总面积18.64平方公里。</w:t>
      </w:r>
    </w:p>
    <w:p w14:paraId="6D7E283A" w14:textId="77777777" w:rsidR="00D64D70" w:rsidRDefault="00000000">
      <w:pPr>
        <w:pStyle w:val="2"/>
        <w:numPr>
          <w:ilvl w:val="0"/>
          <w:numId w:val="1"/>
        </w:numPr>
        <w:ind w:firstLine="643"/>
      </w:pPr>
      <w:r>
        <w:rPr>
          <w:rFonts w:hint="eastAsia"/>
        </w:rPr>
        <w:t>规划期限</w:t>
      </w:r>
    </w:p>
    <w:p w14:paraId="1BDA1FA6" w14:textId="77777777" w:rsidR="00D64D70" w:rsidRDefault="00000000">
      <w:pPr>
        <w:ind w:firstLine="600"/>
        <w:rPr>
          <w:rFonts w:hint="eastAsia"/>
        </w:rPr>
      </w:pPr>
      <w:r>
        <w:rPr>
          <w:rFonts w:hint="eastAsia"/>
        </w:rPr>
        <w:t>2024-2035年，其中：</w:t>
      </w:r>
    </w:p>
    <w:p w14:paraId="19FCF069" w14:textId="77777777" w:rsidR="00D64D70" w:rsidRDefault="00000000">
      <w:pPr>
        <w:ind w:firstLine="600"/>
        <w:rPr>
          <w:rFonts w:hint="eastAsia"/>
        </w:rPr>
      </w:pPr>
      <w:r>
        <w:rPr>
          <w:rFonts w:hint="eastAsia"/>
        </w:rPr>
        <w:t>近期：2024-2027年；远期：2028-2035年。</w:t>
      </w:r>
    </w:p>
    <w:p w14:paraId="179F9C1A" w14:textId="77777777" w:rsidR="00D64D70" w:rsidRDefault="00000000">
      <w:pPr>
        <w:pStyle w:val="2"/>
        <w:numPr>
          <w:ilvl w:val="0"/>
          <w:numId w:val="1"/>
        </w:numPr>
        <w:ind w:firstLine="643"/>
      </w:pPr>
      <w:r>
        <w:rPr>
          <w:rFonts w:hint="eastAsia"/>
        </w:rPr>
        <w:t>规划原则</w:t>
      </w:r>
    </w:p>
    <w:p w14:paraId="61344E83" w14:textId="77777777" w:rsidR="00D64D70" w:rsidRDefault="00000000">
      <w:pPr>
        <w:ind w:firstLine="600"/>
        <w:rPr>
          <w:rFonts w:hint="eastAsia"/>
        </w:rPr>
      </w:pPr>
      <w:r>
        <w:rPr>
          <w:rFonts w:hint="eastAsia"/>
        </w:rPr>
        <w:t>1、统筹规划、科学布局</w:t>
      </w:r>
    </w:p>
    <w:p w14:paraId="6A09D82C" w14:textId="77777777" w:rsidR="00D64D70" w:rsidRDefault="00000000">
      <w:pPr>
        <w:ind w:firstLine="600"/>
        <w:rPr>
          <w:rFonts w:hint="eastAsia"/>
        </w:rPr>
      </w:pPr>
      <w:r>
        <w:rPr>
          <w:rFonts w:hint="eastAsia"/>
        </w:rPr>
        <w:t>2、动态管理、分期实施</w:t>
      </w:r>
    </w:p>
    <w:p w14:paraId="07A7369B" w14:textId="77777777" w:rsidR="00D64D70" w:rsidRDefault="00000000">
      <w:pPr>
        <w:ind w:firstLine="600"/>
        <w:rPr>
          <w:rFonts w:hint="eastAsia"/>
        </w:rPr>
      </w:pPr>
      <w:r>
        <w:rPr>
          <w:rFonts w:hint="eastAsia"/>
        </w:rPr>
        <w:t>3、可操作性、持续发展</w:t>
      </w:r>
    </w:p>
    <w:p w14:paraId="0AE99711" w14:textId="77777777" w:rsidR="00D64D70" w:rsidRDefault="00000000">
      <w:pPr>
        <w:pStyle w:val="2"/>
        <w:numPr>
          <w:ilvl w:val="0"/>
          <w:numId w:val="1"/>
        </w:numPr>
        <w:ind w:firstLine="643"/>
      </w:pPr>
      <w:r>
        <w:rPr>
          <w:rFonts w:hint="eastAsia"/>
        </w:rPr>
        <w:lastRenderedPageBreak/>
        <w:t>船舶类型</w:t>
      </w:r>
    </w:p>
    <w:p w14:paraId="3E551EEC" w14:textId="77777777" w:rsidR="00D64D70" w:rsidRDefault="00000000">
      <w:pPr>
        <w:ind w:firstLine="600"/>
        <w:rPr>
          <w:rFonts w:hint="eastAsia"/>
        </w:rPr>
      </w:pPr>
      <w:r>
        <w:rPr>
          <w:rFonts w:hint="eastAsia"/>
        </w:rPr>
        <w:t>除救援、执法及特定用途的船舶为燃油动力外，新增船舶均为新能源动力，现有燃油船舶三年内有序退出。</w:t>
      </w:r>
    </w:p>
    <w:p w14:paraId="629022F7" w14:textId="77777777" w:rsidR="00D64D70" w:rsidRDefault="00000000">
      <w:pPr>
        <w:pStyle w:val="2"/>
        <w:numPr>
          <w:ilvl w:val="0"/>
          <w:numId w:val="1"/>
        </w:numPr>
        <w:ind w:firstLine="643"/>
      </w:pPr>
      <w:r>
        <w:rPr>
          <w:rFonts w:hint="eastAsia"/>
        </w:rPr>
        <w:t>合理安全容量预测</w:t>
      </w:r>
    </w:p>
    <w:p w14:paraId="4E9A58C3" w14:textId="77777777" w:rsidR="00D64D70" w:rsidRDefault="00000000">
      <w:pPr>
        <w:ind w:firstLine="600"/>
        <w:rPr>
          <w:rFonts w:hint="eastAsia"/>
        </w:rPr>
      </w:pPr>
      <w:r>
        <w:rPr>
          <w:rFonts w:hint="eastAsia"/>
        </w:rPr>
        <w:t>基于船舶运行安全、生态保护红线、防洪等安全要求，取极限容量的60%作为合理安全容量，预测船舶合理安全容量为60艘。当船舶数量达到合理安全容量的80%时，应启动管控预案。</w:t>
      </w:r>
    </w:p>
    <w:p w14:paraId="124C146C" w14:textId="77777777" w:rsidR="00D64D70" w:rsidRDefault="00000000">
      <w:pPr>
        <w:pStyle w:val="2"/>
        <w:numPr>
          <w:ilvl w:val="0"/>
          <w:numId w:val="1"/>
        </w:numPr>
        <w:ind w:firstLine="643"/>
      </w:pPr>
      <w:r>
        <w:rPr>
          <w:rFonts w:hint="eastAsia"/>
        </w:rPr>
        <w:t>水面功能分区</w:t>
      </w:r>
    </w:p>
    <w:p w14:paraId="0BB83613" w14:textId="77777777" w:rsidR="00D64D70" w:rsidRDefault="00000000">
      <w:pPr>
        <w:ind w:firstLine="600"/>
        <w:rPr>
          <w:rFonts w:hint="eastAsia"/>
        </w:rPr>
      </w:pPr>
      <w:r>
        <w:rPr>
          <w:rFonts w:hint="eastAsia"/>
        </w:rPr>
        <w:t>规划六大功能分区，分别为皮划艇训练区、帆船训练区、水上赛事举办区、低空经济发展区、娱乐体验区、渔船作业区。</w:t>
      </w:r>
    </w:p>
    <w:p w14:paraId="024BA633" w14:textId="77777777" w:rsidR="00D64D70" w:rsidRDefault="00000000">
      <w:pPr>
        <w:pStyle w:val="2"/>
        <w:numPr>
          <w:ilvl w:val="0"/>
          <w:numId w:val="1"/>
        </w:numPr>
        <w:ind w:firstLine="643"/>
      </w:pPr>
      <w:r>
        <w:rPr>
          <w:rFonts w:hint="eastAsia"/>
        </w:rPr>
        <w:t>岸线规划</w:t>
      </w:r>
    </w:p>
    <w:p w14:paraId="2B33AD59" w14:textId="77777777" w:rsidR="00D64D70" w:rsidRDefault="00000000">
      <w:pPr>
        <w:ind w:firstLine="600"/>
        <w:rPr>
          <w:rFonts w:hint="eastAsia"/>
        </w:rPr>
      </w:pPr>
      <w:r>
        <w:rPr>
          <w:rFonts w:hint="eastAsia"/>
        </w:rPr>
        <w:t>为支撑码头布局建设，对雪野水库周边岸线进行统筹规划，指导主管部门规范管理。结合雪野水库岸线特点，分为观光游览段、堤防保护段、水上运动段、低空经济段。</w:t>
      </w:r>
    </w:p>
    <w:p w14:paraId="67FCDEA9" w14:textId="77777777" w:rsidR="00D64D70" w:rsidRDefault="00000000">
      <w:pPr>
        <w:pStyle w:val="2"/>
        <w:numPr>
          <w:ilvl w:val="0"/>
          <w:numId w:val="1"/>
        </w:numPr>
        <w:ind w:firstLine="643"/>
      </w:pPr>
      <w:r>
        <w:rPr>
          <w:rFonts w:hint="eastAsia"/>
        </w:rPr>
        <w:t>道路接驳体系规划</w:t>
      </w:r>
    </w:p>
    <w:p w14:paraId="6AF6EE0E" w14:textId="77777777" w:rsidR="00D64D70" w:rsidRDefault="00000000">
      <w:pPr>
        <w:ind w:firstLine="600"/>
        <w:rPr>
          <w:rFonts w:hint="eastAsia"/>
        </w:rPr>
      </w:pPr>
      <w:r>
        <w:rPr>
          <w:rFonts w:hint="eastAsia"/>
        </w:rPr>
        <w:t>1、公交接驳</w:t>
      </w:r>
    </w:p>
    <w:p w14:paraId="1E17882C" w14:textId="77777777" w:rsidR="00D64D70" w:rsidRDefault="00000000">
      <w:pPr>
        <w:ind w:firstLine="600"/>
        <w:rPr>
          <w:rFonts w:hint="eastAsia"/>
        </w:rPr>
      </w:pPr>
      <w:r>
        <w:rPr>
          <w:rFonts w:hint="eastAsia"/>
        </w:rPr>
        <w:t>K318次公交停靠站点基本能够覆盖现有码头，建议未来根据游船码头、停靠点建设计划陆续增设公交停靠站点；</w:t>
      </w:r>
    </w:p>
    <w:p w14:paraId="07CFC7D8" w14:textId="77777777" w:rsidR="00D64D70" w:rsidRDefault="00000000">
      <w:pPr>
        <w:ind w:firstLine="600"/>
        <w:rPr>
          <w:rFonts w:hint="eastAsia"/>
        </w:rPr>
      </w:pPr>
      <w:r>
        <w:rPr>
          <w:rFonts w:hint="eastAsia"/>
        </w:rPr>
        <w:t>2、停车设施接驳</w:t>
      </w:r>
    </w:p>
    <w:p w14:paraId="4932645D" w14:textId="77777777" w:rsidR="00D64D70" w:rsidRDefault="00000000">
      <w:pPr>
        <w:ind w:firstLine="600"/>
        <w:rPr>
          <w:rFonts w:hint="eastAsia"/>
        </w:rPr>
      </w:pPr>
      <w:r>
        <w:rPr>
          <w:rFonts w:hint="eastAsia"/>
        </w:rPr>
        <w:t>保留现状12处停车场，规划增设8处停车场，保证各级码头停车设施配套；</w:t>
      </w:r>
    </w:p>
    <w:p w14:paraId="2D4114C9" w14:textId="77777777" w:rsidR="00D64D70" w:rsidRDefault="00000000">
      <w:pPr>
        <w:ind w:firstLine="600"/>
        <w:rPr>
          <w:rFonts w:hint="eastAsia"/>
        </w:rPr>
      </w:pPr>
      <w:r>
        <w:rPr>
          <w:rFonts w:hint="eastAsia"/>
        </w:rPr>
        <w:t>3、货运交通</w:t>
      </w:r>
    </w:p>
    <w:p w14:paraId="34C7240F" w14:textId="77777777" w:rsidR="00D64D70" w:rsidRDefault="00000000">
      <w:pPr>
        <w:ind w:firstLine="600"/>
        <w:rPr>
          <w:rFonts w:hint="eastAsia"/>
        </w:rPr>
      </w:pPr>
      <w:r>
        <w:rPr>
          <w:rFonts w:hint="eastAsia"/>
        </w:rPr>
        <w:lastRenderedPageBreak/>
        <w:t>利用现有交通线路，加强管理，错时错峰进行。</w:t>
      </w:r>
    </w:p>
    <w:p w14:paraId="56BF2066" w14:textId="77777777" w:rsidR="00D64D70" w:rsidRDefault="00000000">
      <w:pPr>
        <w:pStyle w:val="2"/>
        <w:numPr>
          <w:ilvl w:val="0"/>
          <w:numId w:val="1"/>
        </w:numPr>
        <w:ind w:firstLine="643"/>
      </w:pPr>
      <w:r>
        <w:rPr>
          <w:rFonts w:hint="eastAsia"/>
        </w:rPr>
        <w:t>码头规划布局</w:t>
      </w:r>
    </w:p>
    <w:p w14:paraId="7D4AD7CC" w14:textId="77777777" w:rsidR="00D64D70" w:rsidRDefault="00000000">
      <w:pPr>
        <w:ind w:firstLine="600"/>
        <w:rPr>
          <w:rFonts w:hint="eastAsia"/>
        </w:rPr>
      </w:pPr>
      <w:r>
        <w:rPr>
          <w:rFonts w:hint="eastAsia"/>
        </w:rPr>
        <w:t>规划码头分为四种类型，分别为游船码头4处、停靠点7处、公务码头2处、水上运动码头2处。</w:t>
      </w:r>
    </w:p>
    <w:p w14:paraId="3B4598C8" w14:textId="77777777" w:rsidR="00D64D70" w:rsidRDefault="00000000">
      <w:pPr>
        <w:pStyle w:val="2"/>
        <w:numPr>
          <w:ilvl w:val="0"/>
          <w:numId w:val="1"/>
        </w:numPr>
        <w:ind w:firstLine="643"/>
      </w:pPr>
      <w:r>
        <w:rPr>
          <w:rFonts w:hint="eastAsia"/>
        </w:rPr>
        <w:t>码头建设规划指引</w:t>
      </w:r>
    </w:p>
    <w:p w14:paraId="78030B3E" w14:textId="77777777" w:rsidR="00D64D70" w:rsidRDefault="00000000">
      <w:pPr>
        <w:ind w:firstLine="600"/>
        <w:rPr>
          <w:rFonts w:hint="eastAsia"/>
        </w:rPr>
      </w:pPr>
      <w:r>
        <w:rPr>
          <w:rFonts w:hint="eastAsia"/>
        </w:rPr>
        <w:t>1、码头规划建设应符合生态保护红线、风景名胜区、大坝、河湖岸线等相关保护要求，严格控制建设活动和规模，并按程序开展“有限人为活动论证”等相关工作</w:t>
      </w:r>
    </w:p>
    <w:p w14:paraId="27D33A84" w14:textId="77777777" w:rsidR="00D64D70" w:rsidRDefault="00000000">
      <w:pPr>
        <w:ind w:firstLine="600"/>
        <w:rPr>
          <w:rFonts w:hint="eastAsia"/>
        </w:rPr>
      </w:pPr>
      <w:r>
        <w:rPr>
          <w:rFonts w:hint="eastAsia"/>
        </w:rPr>
        <w:t>2、码头应当根据船舶靠泊需要，配套建设岸电设施、船舶污染物接收设施等，包括保留提升、转型升级和规划新增三种类型。其中，保留提升码头，进一步完善现有码头的各类配套服务设施，提高对画舫、帆船等船只靠泊的服务水平；转型升级码头，应充分保障相关权利人合法权益，充分征求意见并做出妥善安排，做好社会影响分析等相关工作；规划新增码头，新建码头的安全设施、环保设施、环卫设施等必须与主体工程同时设计、同时施工、同时投入使用。</w:t>
      </w:r>
    </w:p>
    <w:p w14:paraId="6D78B07E" w14:textId="77777777" w:rsidR="00D64D70" w:rsidRDefault="00000000">
      <w:pPr>
        <w:pStyle w:val="2"/>
        <w:numPr>
          <w:ilvl w:val="0"/>
          <w:numId w:val="1"/>
        </w:numPr>
        <w:ind w:firstLine="643"/>
      </w:pPr>
      <w:r>
        <w:rPr>
          <w:rFonts w:hint="eastAsia"/>
        </w:rPr>
        <w:t>环境保护目标</w:t>
      </w:r>
    </w:p>
    <w:p w14:paraId="4A17CA1C" w14:textId="77777777" w:rsidR="00D64D70" w:rsidRDefault="00000000">
      <w:pPr>
        <w:ind w:firstLine="600"/>
        <w:rPr>
          <w:rFonts w:hint="eastAsia"/>
        </w:rPr>
      </w:pPr>
      <w:r>
        <w:rPr>
          <w:rFonts w:hint="eastAsia"/>
        </w:rPr>
        <w:t>1、莱芜雪野风景名胜区范围内区域应符合莱芜雪野风景名胜区总体规划环境保护目标；生态保护红线范围内区域应符合生态保护红线环境保护相关要求。</w:t>
      </w:r>
    </w:p>
    <w:p w14:paraId="0DB1633A" w14:textId="77777777" w:rsidR="00D64D70" w:rsidRDefault="00000000">
      <w:pPr>
        <w:ind w:firstLine="600"/>
        <w:rPr>
          <w:rFonts w:hint="eastAsia"/>
        </w:rPr>
      </w:pPr>
      <w:r>
        <w:rPr>
          <w:rFonts w:hint="eastAsia"/>
        </w:rPr>
        <w:t>2、码头建设和运营中排放的污水、废气和噪声，应达到国家和地方规定的排放和卫生标准。</w:t>
      </w:r>
    </w:p>
    <w:p w14:paraId="2B3BBA3B" w14:textId="77777777" w:rsidR="00D64D70" w:rsidRDefault="00000000">
      <w:pPr>
        <w:pStyle w:val="2"/>
        <w:numPr>
          <w:ilvl w:val="0"/>
          <w:numId w:val="1"/>
        </w:numPr>
        <w:ind w:firstLine="643"/>
      </w:pPr>
      <w:r>
        <w:rPr>
          <w:rFonts w:hint="eastAsia"/>
        </w:rPr>
        <w:lastRenderedPageBreak/>
        <w:t>管理机制</w:t>
      </w:r>
    </w:p>
    <w:p w14:paraId="2D6443A6" w14:textId="77777777" w:rsidR="00D64D70" w:rsidRDefault="00000000">
      <w:pPr>
        <w:ind w:firstLine="600"/>
        <w:rPr>
          <w:rFonts w:hint="eastAsia"/>
        </w:rPr>
      </w:pPr>
      <w:r>
        <w:rPr>
          <w:rFonts w:hint="eastAsia"/>
        </w:rPr>
        <w:t>1、预案有序管理</w:t>
      </w:r>
    </w:p>
    <w:p w14:paraId="7A840574" w14:textId="77777777" w:rsidR="00D64D70" w:rsidRDefault="00000000">
      <w:pPr>
        <w:ind w:firstLine="600"/>
        <w:rPr>
          <w:rFonts w:hint="eastAsia"/>
        </w:rPr>
      </w:pPr>
      <w:r>
        <w:rPr>
          <w:rFonts w:hint="eastAsia"/>
        </w:rPr>
        <w:t>通过监测数据，预测雪野湖及其周边游人流量趋势，对水库周边实行分级管理，为疏导分流工作预案的启动提供依据。</w:t>
      </w:r>
    </w:p>
    <w:p w14:paraId="35D21E4A" w14:textId="77777777" w:rsidR="00D64D70" w:rsidRDefault="00000000">
      <w:pPr>
        <w:ind w:firstLine="600"/>
        <w:rPr>
          <w:rFonts w:hint="eastAsia"/>
        </w:rPr>
      </w:pPr>
      <w:r>
        <w:rPr>
          <w:rFonts w:hint="eastAsia"/>
        </w:rPr>
        <w:t>2、疏导分流管控</w:t>
      </w:r>
    </w:p>
    <w:p w14:paraId="58E0CD21" w14:textId="77777777" w:rsidR="00D64D70" w:rsidRDefault="00000000">
      <w:pPr>
        <w:ind w:firstLine="600"/>
        <w:rPr>
          <w:rFonts w:hint="eastAsia"/>
        </w:rPr>
      </w:pPr>
      <w:r>
        <w:rPr>
          <w:rFonts w:hint="eastAsia"/>
        </w:rPr>
        <w:t>当游人量达到航线最大承载量的80%时，启动包括交通调控、主要码头调控等措施控制进入水域的游人量。合理设计等候地方式和途径。</w:t>
      </w:r>
    </w:p>
    <w:p w14:paraId="432A596F" w14:textId="77777777" w:rsidR="00D64D70" w:rsidRDefault="00000000">
      <w:pPr>
        <w:ind w:firstLine="600"/>
        <w:rPr>
          <w:rFonts w:hint="eastAsia"/>
        </w:rPr>
      </w:pPr>
      <w:r>
        <w:rPr>
          <w:rFonts w:hint="eastAsia"/>
        </w:rPr>
        <w:t>3、错时错峰调控</w:t>
      </w:r>
    </w:p>
    <w:p w14:paraId="4AB5C71F" w14:textId="77777777" w:rsidR="00D64D70" w:rsidRDefault="00000000">
      <w:pPr>
        <w:ind w:firstLine="600"/>
        <w:rPr>
          <w:rFonts w:hint="eastAsia"/>
        </w:rPr>
      </w:pPr>
      <w:r>
        <w:rPr>
          <w:rFonts w:hint="eastAsia"/>
        </w:rPr>
        <w:t>有针对性地启动水陆交通运力动态调整预案，通过周边道路管控、区内停车、公交调度控制等措施，调控游人量。</w:t>
      </w:r>
    </w:p>
    <w:p w14:paraId="3AA4DB43" w14:textId="77777777" w:rsidR="00D64D70" w:rsidRDefault="00D64D70">
      <w:pPr>
        <w:ind w:firstLine="600"/>
        <w:rPr>
          <w:rFonts w:hint="eastAsia"/>
        </w:rPr>
      </w:pPr>
    </w:p>
    <w:p w14:paraId="617C5B80" w14:textId="77777777" w:rsidR="00D64D70" w:rsidRDefault="00D64D70">
      <w:pPr>
        <w:ind w:firstLineChars="0" w:firstLine="0"/>
        <w:rPr>
          <w:rFonts w:hint="eastAsia"/>
        </w:rPr>
        <w:sectPr w:rsidR="00D64D70" w:rsidSect="002D4C84">
          <w:headerReference w:type="even" r:id="rId7"/>
          <w:headerReference w:type="default" r:id="rId8"/>
          <w:footerReference w:type="even" r:id="rId9"/>
          <w:footerReference w:type="default" r:id="rId10"/>
          <w:headerReference w:type="first" r:id="rId11"/>
          <w:footerReference w:type="first" r:id="rId12"/>
          <w:pgSz w:w="11906" w:h="16838"/>
          <w:pgMar w:top="1440" w:right="1700" w:bottom="1440" w:left="1701" w:header="851" w:footer="992" w:gutter="0"/>
          <w:cols w:space="425"/>
          <w:docGrid w:type="lines" w:linePitch="312"/>
        </w:sectPr>
      </w:pPr>
    </w:p>
    <w:p w14:paraId="7C4E6B7F" w14:textId="77777777" w:rsidR="00D64D70" w:rsidRDefault="00000000">
      <w:pPr>
        <w:ind w:firstLineChars="0" w:firstLine="0"/>
        <w:jc w:val="center"/>
        <w:rPr>
          <w:rFonts w:hint="eastAsia"/>
        </w:rPr>
      </w:pPr>
      <w:r>
        <w:rPr>
          <w:noProof/>
        </w:rPr>
        <w:lastRenderedPageBreak/>
        <w:drawing>
          <wp:inline distT="0" distB="0" distL="114300" distR="114300" wp14:anchorId="1B23C6B9" wp14:editId="468B5656">
            <wp:extent cx="9639935" cy="6816090"/>
            <wp:effectExtent l="0" t="0" r="18415" b="3810"/>
            <wp:docPr id="3" name="图片 3" descr="08码头布局和游船线路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码头布局和游船线路规划图"/>
                    <pic:cNvPicPr>
                      <a:picLocks noChangeAspect="1"/>
                    </pic:cNvPicPr>
                  </pic:nvPicPr>
                  <pic:blipFill>
                    <a:blip r:embed="rId13"/>
                    <a:stretch>
                      <a:fillRect/>
                    </a:stretch>
                  </pic:blipFill>
                  <pic:spPr>
                    <a:xfrm>
                      <a:off x="0" y="0"/>
                      <a:ext cx="9639935" cy="6816090"/>
                    </a:xfrm>
                    <a:prstGeom prst="rect">
                      <a:avLst/>
                    </a:prstGeom>
                  </pic:spPr>
                </pic:pic>
              </a:graphicData>
            </a:graphic>
          </wp:inline>
        </w:drawing>
      </w:r>
    </w:p>
    <w:sectPr w:rsidR="00D64D70">
      <w:pgSz w:w="16838" w:h="11906" w:orient="landscape"/>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BC1E8" w14:textId="77777777" w:rsidR="007E52A0" w:rsidRDefault="007E52A0">
      <w:pPr>
        <w:spacing w:line="240" w:lineRule="auto"/>
        <w:ind w:firstLine="600"/>
        <w:rPr>
          <w:rFonts w:hint="eastAsia"/>
        </w:rPr>
      </w:pPr>
      <w:r>
        <w:separator/>
      </w:r>
    </w:p>
  </w:endnote>
  <w:endnote w:type="continuationSeparator" w:id="0">
    <w:p w14:paraId="7BE5217A" w14:textId="77777777" w:rsidR="007E52A0" w:rsidRDefault="007E52A0">
      <w:pPr>
        <w:spacing w:line="240" w:lineRule="auto"/>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1BD2" w14:textId="77777777" w:rsidR="002D4C84" w:rsidRDefault="002D4C84">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840807"/>
      <w:docPartObj>
        <w:docPartGallery w:val="Page Numbers (Bottom of Page)"/>
        <w:docPartUnique/>
      </w:docPartObj>
    </w:sdtPr>
    <w:sdtContent>
      <w:p w14:paraId="354CF473" w14:textId="1F4F9512" w:rsidR="002D4C84" w:rsidRDefault="002D4C84" w:rsidP="002D4C84">
        <w:pPr>
          <w:pStyle w:val="a5"/>
          <w:ind w:firstLine="360"/>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DFDF" w14:textId="77777777" w:rsidR="002D4C84" w:rsidRDefault="002D4C84">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7B2C4" w14:textId="77777777" w:rsidR="007E52A0" w:rsidRDefault="007E52A0">
      <w:pPr>
        <w:ind w:firstLine="600"/>
        <w:rPr>
          <w:rFonts w:hint="eastAsia"/>
        </w:rPr>
      </w:pPr>
      <w:r>
        <w:separator/>
      </w:r>
    </w:p>
  </w:footnote>
  <w:footnote w:type="continuationSeparator" w:id="0">
    <w:p w14:paraId="1CFD63FF" w14:textId="77777777" w:rsidR="007E52A0" w:rsidRDefault="007E52A0">
      <w:pPr>
        <w:ind w:firstLine="60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24E89" w14:textId="77777777" w:rsidR="002D4C84" w:rsidRDefault="002D4C84">
    <w:pPr>
      <w:pStyle w:val="a3"/>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C34E" w14:textId="77777777" w:rsidR="002D4C84" w:rsidRDefault="002D4C84">
    <w:pPr>
      <w:pStyle w:val="a3"/>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BA39" w14:textId="77777777" w:rsidR="002D4C84" w:rsidRDefault="002D4C84">
    <w:pPr>
      <w:pStyle w:val="a3"/>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5660C"/>
    <w:multiLevelType w:val="singleLevel"/>
    <w:tmpl w:val="7FD5660C"/>
    <w:lvl w:ilvl="0">
      <w:start w:val="1"/>
      <w:numFmt w:val="chineseCounting"/>
      <w:suff w:val="nothing"/>
      <w:lvlText w:val="%1、"/>
      <w:lvlJc w:val="left"/>
      <w:rPr>
        <w:rFonts w:hint="eastAsia"/>
      </w:rPr>
    </w:lvl>
  </w:abstractNum>
  <w:num w:numId="1" w16cid:durableId="366879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C2C5485"/>
    <w:rsid w:val="002D4C84"/>
    <w:rsid w:val="00513546"/>
    <w:rsid w:val="005E3AA7"/>
    <w:rsid w:val="007E52A0"/>
    <w:rsid w:val="00891152"/>
    <w:rsid w:val="008D5991"/>
    <w:rsid w:val="00B4127D"/>
    <w:rsid w:val="00C91B09"/>
    <w:rsid w:val="00D64D70"/>
    <w:rsid w:val="00D84DAC"/>
    <w:rsid w:val="01805291"/>
    <w:rsid w:val="2D417F3E"/>
    <w:rsid w:val="2F4308A5"/>
    <w:rsid w:val="34092494"/>
    <w:rsid w:val="36310609"/>
    <w:rsid w:val="55A84F8D"/>
    <w:rsid w:val="55F11B90"/>
    <w:rsid w:val="6C2C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8E534"/>
  <w15:docId w15:val="{69F4C52C-16B2-474C-805E-7137608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883"/>
      <w:jc w:val="both"/>
    </w:pPr>
    <w:rPr>
      <w:rFonts w:ascii="仿宋" w:eastAsia="仿宋" w:hAnsi="仿宋" w:cstheme="minorBidi"/>
      <w:kern w:val="2"/>
      <w:sz w:val="30"/>
      <w:szCs w:val="24"/>
    </w:rPr>
  </w:style>
  <w:style w:type="paragraph" w:styleId="1">
    <w:name w:val="heading 1"/>
    <w:basedOn w:val="a"/>
    <w:next w:val="a"/>
    <w:qFormat/>
    <w:pPr>
      <w:keepNext/>
      <w:keepLines/>
      <w:spacing w:before="340" w:after="330" w:line="576" w:lineRule="auto"/>
      <w:outlineLvl w:val="0"/>
    </w:pPr>
    <w:rPr>
      <w:rFonts w:ascii="黑体" w:eastAsia="黑体" w:hAnsi="黑体"/>
      <w:b/>
      <w:kern w:val="44"/>
      <w:sz w:val="44"/>
    </w:rPr>
  </w:style>
  <w:style w:type="paragraph" w:styleId="2">
    <w:name w:val="heading 2"/>
    <w:basedOn w:val="a"/>
    <w:next w:val="a"/>
    <w:unhideWhenUsed/>
    <w:qFormat/>
    <w:pPr>
      <w:keepNext/>
      <w:keepLines/>
      <w:outlineLvl w:val="1"/>
    </w:pPr>
    <w:rPr>
      <w:rFonts w:ascii="Arial" w:eastAsia="黑体" w:hAnsi="Arial"/>
      <w:b/>
      <w:sz w:val="32"/>
    </w:rPr>
  </w:style>
  <w:style w:type="paragraph" w:styleId="3">
    <w:name w:val="heading 3"/>
    <w:basedOn w:val="a"/>
    <w:next w:val="a"/>
    <w:uiPriority w:val="9"/>
    <w:unhideWhenUsed/>
    <w:qFormat/>
    <w:pPr>
      <w:keepNext/>
      <w:keepLines/>
      <w:outlineLvl w:val="2"/>
    </w:pPr>
    <w:rPr>
      <w:rFonts w:asciiTheme="majorHAnsi"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4C84"/>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2D4C84"/>
    <w:rPr>
      <w:rFonts w:ascii="仿宋" w:eastAsia="仿宋" w:hAnsi="仿宋" w:cstheme="minorBidi"/>
      <w:kern w:val="2"/>
      <w:sz w:val="18"/>
      <w:szCs w:val="18"/>
    </w:rPr>
  </w:style>
  <w:style w:type="paragraph" w:styleId="a5">
    <w:name w:val="footer"/>
    <w:basedOn w:val="a"/>
    <w:link w:val="a6"/>
    <w:uiPriority w:val="99"/>
    <w:rsid w:val="002D4C84"/>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2D4C84"/>
    <w:rPr>
      <w:rFonts w:ascii="仿宋" w:eastAsia="仿宋" w:hAnsi="仿宋"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乾燥剤</dc:creator>
  <cp:lastModifiedBy>c g</cp:lastModifiedBy>
  <cp:revision>3</cp:revision>
  <dcterms:created xsi:type="dcterms:W3CDTF">2025-02-19T02:42:00Z</dcterms:created>
  <dcterms:modified xsi:type="dcterms:W3CDTF">2025-02-19T02:43:00Z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33C40F4E85284CBDAA8422E699376357_11</vt:lpwstr>
  </property>
  <property fmtid="{D5CDD505-2E9C-101B-9397-08002B2CF9AE}" pid="4" name="KSOTemplateDocerSaveRecord">
    <vt:lpwstr>eyJoZGlkIjoiMDhmYTMwZThlODU4N2YzNDUwZGQwOTM1NjA1ZjZmMDIiLCJ1c2VySWQiOiI0MDAzMjM5NTMifQ==</vt:lpwstr>
  </property>
</Properties>
</file>