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320" w:firstLineChars="300"/>
        <w:jc w:val="both"/>
        <w:rPr>
          <w:rFonts w:hint="eastAsia" w:ascii="方正小标宋简体" w:hAnsi="Calibri" w:eastAsia="方正小标宋简体"/>
          <w:color w:val="auto"/>
          <w:sz w:val="44"/>
          <w:szCs w:val="20"/>
        </w:rPr>
      </w:pPr>
      <w:bookmarkStart w:id="3" w:name="_GoBack"/>
      <w:bookmarkEnd w:id="3"/>
      <w:r>
        <w:rPr>
          <w:rFonts w:hint="eastAsia" w:ascii="方正小标宋简体" w:hAnsi="Calibri" w:eastAsia="方正小标宋简体"/>
          <w:color w:val="auto"/>
          <w:sz w:val="44"/>
          <w:szCs w:val="20"/>
          <w:lang w:val="en-US" w:eastAsia="zh-CN"/>
        </w:rPr>
        <w:t>莱芜</w:t>
      </w:r>
      <w:r>
        <w:rPr>
          <w:rFonts w:hint="eastAsia" w:ascii="方正小标宋简体" w:hAnsi="Calibri" w:eastAsia="方正小标宋简体"/>
          <w:color w:val="auto"/>
          <w:sz w:val="44"/>
          <w:szCs w:val="20"/>
          <w:lang w:eastAsia="zh-CN"/>
        </w:rPr>
        <w:t>区</w:t>
      </w:r>
      <w:r>
        <w:rPr>
          <w:rFonts w:hint="eastAsia" w:ascii="方正小标宋简体" w:hAnsi="Calibri" w:eastAsia="方正小标宋简体"/>
          <w:color w:val="auto"/>
          <w:sz w:val="44"/>
          <w:szCs w:val="20"/>
        </w:rPr>
        <w:t>烟草制品零售点布局规定</w:t>
      </w:r>
    </w:p>
    <w:p>
      <w:pPr>
        <w:spacing w:line="360" w:lineRule="auto"/>
        <w:jc w:val="center"/>
        <w:rPr>
          <w:rFonts w:hint="default" w:ascii="方正小标宋简体" w:hAnsi="Calibri" w:eastAsia="方正小标宋简体"/>
          <w:b w:val="0"/>
          <w:bCs w:val="0"/>
          <w:color w:val="auto"/>
          <w:sz w:val="36"/>
          <w:szCs w:val="16"/>
          <w:lang w:val="en-US" w:eastAsia="zh-CN"/>
        </w:rPr>
      </w:pPr>
      <w:r>
        <w:rPr>
          <w:rFonts w:hint="eastAsia" w:ascii="方正小标宋简体" w:hAnsi="Calibri" w:eastAsia="方正小标宋简体"/>
          <w:b w:val="0"/>
          <w:bCs w:val="0"/>
          <w:color w:val="auto"/>
          <w:sz w:val="36"/>
          <w:szCs w:val="16"/>
          <w:lang w:eastAsia="zh-CN"/>
        </w:rPr>
        <w:t>（</w:t>
      </w:r>
      <w:r>
        <w:rPr>
          <w:rFonts w:hint="eastAsia" w:ascii="方正小标宋简体" w:hAnsi="Calibri" w:eastAsia="方正小标宋简体"/>
          <w:b w:val="0"/>
          <w:bCs w:val="0"/>
          <w:color w:val="auto"/>
          <w:sz w:val="36"/>
          <w:szCs w:val="16"/>
          <w:lang w:val="en-US" w:eastAsia="zh-CN"/>
        </w:rPr>
        <w:t>征求意见稿）</w:t>
      </w:r>
    </w:p>
    <w:p>
      <w:pPr>
        <w:spacing w:line="360" w:lineRule="auto"/>
        <w:ind w:firstLine="640" w:firstLineChars="200"/>
        <w:rPr>
          <w:rFonts w:ascii="楷体_GB2312" w:hAnsi="Calibri" w:eastAsia="楷体_GB2312"/>
          <w:color w:val="auto"/>
          <w:sz w:val="32"/>
          <w:szCs w:val="32"/>
        </w:rPr>
      </w:pPr>
    </w:p>
    <w:p>
      <w:pPr>
        <w:spacing w:line="360" w:lineRule="auto"/>
        <w:ind w:firstLine="640" w:firstLineChars="200"/>
        <w:rPr>
          <w:rFonts w:ascii="仿宋_GB2312" w:hAnsi="Calibri" w:eastAsia="仿宋_GB2312"/>
          <w:color w:val="auto"/>
          <w:sz w:val="32"/>
          <w:szCs w:val="20"/>
        </w:rPr>
      </w:pPr>
      <w:r>
        <w:rPr>
          <w:rFonts w:hint="eastAsia" w:ascii="黑体" w:hAnsi="黑体" w:eastAsia="黑体"/>
          <w:color w:val="auto"/>
          <w:sz w:val="32"/>
          <w:szCs w:val="20"/>
        </w:rPr>
        <w:t>第一条</w:t>
      </w:r>
      <w:r>
        <w:rPr>
          <w:rFonts w:hint="eastAsia" w:ascii="仿宋_GB2312" w:hAnsi="Calibri" w:eastAsia="仿宋_GB2312"/>
          <w:color w:val="auto"/>
          <w:sz w:val="32"/>
          <w:szCs w:val="20"/>
        </w:rPr>
        <w:t xml:space="preserve">  为进一步优化营商环境，</w:t>
      </w:r>
      <w:bookmarkStart w:id="0" w:name="_Hlk69297696"/>
      <w:r>
        <w:rPr>
          <w:rFonts w:hint="eastAsia" w:ascii="仿宋_GB2312" w:hAnsi="Calibri" w:eastAsia="仿宋_GB2312"/>
          <w:color w:val="auto"/>
          <w:sz w:val="32"/>
          <w:szCs w:val="20"/>
        </w:rPr>
        <w:t>规范卷烟市场经营秩序，</w:t>
      </w:r>
      <w:bookmarkEnd w:id="0"/>
      <w:r>
        <w:rPr>
          <w:rFonts w:hint="eastAsia" w:ascii="仿宋_GB2312" w:hAnsi="Calibri" w:eastAsia="仿宋_GB2312"/>
          <w:color w:val="auto"/>
          <w:sz w:val="32"/>
          <w:szCs w:val="20"/>
        </w:rPr>
        <w:t>促进文明城市建设，切实维护国家利益、消费者利益及未成年人的合法权益，根据《中华人民共和国行政许可法》、《中华人民共和国烟草专卖法》、《中华人民共和国烟草专卖法实施条例》、《烟草专卖许可证管理办法》（工业和信息化部令第37号）等有关规定，结合</w:t>
      </w:r>
      <w:r>
        <w:rPr>
          <w:rFonts w:hint="eastAsia" w:ascii="仿宋_GB2312" w:hAnsi="Calibri" w:eastAsia="仿宋_GB2312"/>
          <w:color w:val="auto"/>
          <w:sz w:val="32"/>
          <w:szCs w:val="20"/>
          <w:lang w:val="en-US" w:eastAsia="zh-CN"/>
        </w:rPr>
        <w:t>莱芜</w:t>
      </w:r>
      <w:r>
        <w:rPr>
          <w:rFonts w:hint="eastAsia" w:ascii="仿宋_GB2312" w:hAnsi="Calibri" w:eastAsia="仿宋_GB2312"/>
          <w:color w:val="auto"/>
          <w:sz w:val="32"/>
          <w:szCs w:val="20"/>
          <w:lang w:eastAsia="zh-CN"/>
        </w:rPr>
        <w:t>区</w:t>
      </w:r>
      <w:r>
        <w:rPr>
          <w:rFonts w:hint="eastAsia" w:ascii="仿宋_GB2312" w:hAnsi="Calibri" w:eastAsia="仿宋_GB2312"/>
          <w:color w:val="auto"/>
          <w:sz w:val="32"/>
          <w:szCs w:val="20"/>
        </w:rPr>
        <w:t>实际，制定本规定。</w:t>
      </w:r>
    </w:p>
    <w:p>
      <w:pPr>
        <w:spacing w:line="360" w:lineRule="auto"/>
        <w:ind w:firstLine="640" w:firstLineChars="200"/>
        <w:rPr>
          <w:rFonts w:ascii="仿宋_GB2312" w:hAnsi="Calibri" w:eastAsia="仿宋_GB2312"/>
          <w:color w:val="auto"/>
          <w:sz w:val="32"/>
          <w:szCs w:val="20"/>
        </w:rPr>
      </w:pPr>
      <w:r>
        <w:rPr>
          <w:rFonts w:hint="eastAsia" w:ascii="黑体" w:hAnsi="黑体" w:eastAsia="黑体"/>
          <w:color w:val="auto"/>
          <w:sz w:val="32"/>
          <w:szCs w:val="20"/>
        </w:rPr>
        <w:t>第二条</w:t>
      </w:r>
      <w:r>
        <w:rPr>
          <w:rFonts w:hint="eastAsia" w:ascii="仿宋_GB2312" w:hAnsi="Calibri" w:eastAsia="仿宋_GB2312"/>
          <w:color w:val="auto"/>
          <w:sz w:val="32"/>
          <w:szCs w:val="20"/>
        </w:rPr>
        <w:t xml:space="preserve">  本规定适用于</w:t>
      </w:r>
      <w:r>
        <w:rPr>
          <w:rFonts w:hint="eastAsia" w:ascii="仿宋_GB2312" w:hAnsi="Calibri" w:eastAsia="仿宋_GB2312"/>
          <w:color w:val="auto"/>
          <w:sz w:val="32"/>
          <w:szCs w:val="20"/>
          <w:lang w:val="en-US" w:eastAsia="zh-CN"/>
        </w:rPr>
        <w:t>莱芜</w:t>
      </w:r>
      <w:r>
        <w:rPr>
          <w:rFonts w:hint="eastAsia" w:ascii="仿宋_GB2312" w:hAnsi="Calibri" w:eastAsia="仿宋_GB2312"/>
          <w:color w:val="auto"/>
          <w:sz w:val="32"/>
          <w:szCs w:val="20"/>
          <w:lang w:eastAsia="zh-CN"/>
        </w:rPr>
        <w:t>区</w:t>
      </w:r>
      <w:r>
        <w:rPr>
          <w:rFonts w:hint="eastAsia" w:ascii="仿宋_GB2312" w:hAnsi="Calibri" w:eastAsia="仿宋_GB2312"/>
          <w:color w:val="auto"/>
          <w:sz w:val="32"/>
          <w:szCs w:val="20"/>
        </w:rPr>
        <w:t>行政区域内的烟草制品零售点（以下简称零售点）布局。</w:t>
      </w:r>
    </w:p>
    <w:p>
      <w:pPr>
        <w:spacing w:line="360" w:lineRule="auto"/>
        <w:ind w:firstLine="640" w:firstLineChars="200"/>
        <w:rPr>
          <w:rFonts w:hint="eastAsia" w:ascii="仿宋_GB2312" w:hAnsi="Calibri" w:eastAsia="仿宋_GB2312"/>
          <w:color w:val="auto"/>
          <w:sz w:val="32"/>
          <w:szCs w:val="20"/>
          <w:highlight w:val="none"/>
          <w:lang w:val="en-US" w:eastAsia="zh-CN"/>
        </w:rPr>
      </w:pPr>
      <w:r>
        <w:rPr>
          <w:rFonts w:hint="eastAsia" w:ascii="黑体" w:hAnsi="黑体" w:eastAsia="黑体"/>
          <w:color w:val="auto"/>
          <w:sz w:val="32"/>
          <w:szCs w:val="20"/>
        </w:rPr>
        <w:t>第三条</w:t>
      </w:r>
      <w:r>
        <w:rPr>
          <w:rFonts w:hint="eastAsia" w:ascii="仿宋_GB2312" w:hAnsi="Calibri" w:eastAsia="仿宋_GB2312"/>
          <w:color w:val="auto"/>
          <w:sz w:val="32"/>
          <w:szCs w:val="20"/>
        </w:rPr>
        <w:t xml:space="preserve">  </w:t>
      </w:r>
      <w:r>
        <w:rPr>
          <w:rFonts w:hint="eastAsia" w:ascii="仿宋_GB2312" w:hAnsi="Calibri" w:eastAsia="仿宋_GB2312"/>
          <w:color w:val="auto"/>
          <w:sz w:val="32"/>
          <w:szCs w:val="20"/>
          <w:lang w:val="en-US" w:eastAsia="zh-CN"/>
        </w:rPr>
        <w:t>莱</w:t>
      </w:r>
      <w:r>
        <w:rPr>
          <w:rFonts w:hint="eastAsia" w:ascii="仿宋_GB2312" w:hAnsi="Calibri" w:eastAsia="仿宋_GB2312"/>
          <w:color w:val="auto"/>
          <w:sz w:val="32"/>
          <w:szCs w:val="20"/>
          <w:highlight w:val="none"/>
          <w:lang w:val="en-US" w:eastAsia="zh-CN"/>
        </w:rPr>
        <w:t>城区烟草专卖局采取“容量管理+间距调整”模式，</w:t>
      </w:r>
      <w:r>
        <w:rPr>
          <w:rFonts w:hint="eastAsia" w:ascii="仿宋_GB2312" w:hAnsi="Calibri" w:eastAsia="仿宋_GB2312"/>
          <w:color w:val="auto"/>
          <w:sz w:val="32"/>
          <w:szCs w:val="20"/>
        </w:rPr>
        <w:t>遵循“合法合规、公平公正、因地制宜、优化布局</w:t>
      </w:r>
      <w:r>
        <w:rPr>
          <w:rFonts w:hint="eastAsia" w:ascii="仿宋_GB2312" w:hAnsi="Calibri" w:eastAsia="仿宋_GB2312"/>
          <w:color w:val="auto"/>
          <w:sz w:val="32"/>
          <w:szCs w:val="20"/>
          <w:lang w:eastAsia="zh-CN"/>
        </w:rPr>
        <w:t>、</w:t>
      </w:r>
      <w:r>
        <w:rPr>
          <w:rFonts w:hint="eastAsia" w:ascii="仿宋_GB2312" w:eastAsia="仿宋_GB2312" w:cs="仿宋_GB2312"/>
          <w:color w:val="auto"/>
          <w:kern w:val="0"/>
          <w:sz w:val="32"/>
          <w:szCs w:val="32"/>
        </w:rPr>
        <w:t>先后有序</w:t>
      </w:r>
      <w:r>
        <w:rPr>
          <w:rFonts w:hint="eastAsia" w:ascii="仿宋_GB2312" w:hAnsi="Calibri" w:eastAsia="仿宋_GB2312"/>
          <w:color w:val="auto"/>
          <w:sz w:val="32"/>
          <w:szCs w:val="20"/>
        </w:rPr>
        <w:t>”的原则，根据辖区内的人口数量、交通状况、经济发展水平、消费能力等因素</w:t>
      </w:r>
      <w:r>
        <w:rPr>
          <w:rFonts w:hint="eastAsia" w:ascii="仿宋_GB2312" w:hAnsi="Calibri" w:eastAsia="仿宋_GB2312"/>
          <w:color w:val="auto"/>
          <w:sz w:val="32"/>
          <w:szCs w:val="20"/>
          <w:highlight w:val="none"/>
          <w:lang w:val="en-US" w:eastAsia="zh-CN"/>
        </w:rPr>
        <w:t>对辖区内各市场单元的零售点进行布局调整。</w:t>
      </w:r>
    </w:p>
    <w:p>
      <w:pPr>
        <w:spacing w:line="360" w:lineRule="auto"/>
        <w:ind w:firstLine="640" w:firstLineChars="200"/>
        <w:rPr>
          <w:rFonts w:hint="eastAsia" w:ascii="仿宋_GB2312" w:hAnsi="Calibri" w:eastAsia="仿宋_GB2312"/>
          <w:color w:val="auto"/>
          <w:sz w:val="32"/>
          <w:szCs w:val="20"/>
          <w:highlight w:val="none"/>
          <w:lang w:val="en-US" w:eastAsia="zh-CN"/>
        </w:rPr>
      </w:pPr>
      <w:r>
        <w:rPr>
          <w:rFonts w:hint="eastAsia" w:ascii="黑体" w:hAnsi="黑体" w:eastAsia="黑体" w:cs="黑体"/>
          <w:color w:val="auto"/>
          <w:sz w:val="32"/>
          <w:szCs w:val="20"/>
          <w:highlight w:val="none"/>
          <w:lang w:val="en-US" w:eastAsia="zh-CN"/>
        </w:rPr>
        <w:t>第四条</w:t>
      </w:r>
      <w:r>
        <w:rPr>
          <w:rFonts w:hint="eastAsia" w:ascii="仿宋_GB2312" w:hAnsi="Calibri" w:eastAsia="仿宋_GB2312"/>
          <w:color w:val="auto"/>
          <w:sz w:val="32"/>
          <w:szCs w:val="20"/>
          <w:highlight w:val="none"/>
          <w:lang w:val="en-US" w:eastAsia="zh-CN"/>
        </w:rPr>
        <w:t xml:space="preserve"> 辖区零售点布局以乡镇街道、功能区为一般市场单元，对单元内的零售点设置合理容量。</w:t>
      </w:r>
    </w:p>
    <w:p>
      <w:pPr>
        <w:spacing w:line="360" w:lineRule="auto"/>
        <w:ind w:firstLine="640" w:firstLineChars="200"/>
        <w:rPr>
          <w:rFonts w:hint="eastAsia" w:ascii="仿宋_GB2312" w:hAnsi="Calibri" w:eastAsia="仿宋_GB2312"/>
          <w:color w:val="auto"/>
          <w:sz w:val="32"/>
          <w:szCs w:val="20"/>
          <w:highlight w:val="none"/>
          <w:lang w:val="en-US" w:eastAsia="zh-CN"/>
        </w:rPr>
      </w:pPr>
      <w:r>
        <w:rPr>
          <w:rFonts w:hint="eastAsia" w:ascii="仿宋_GB2312" w:hAnsi="Calibri" w:eastAsia="仿宋_GB2312"/>
          <w:color w:val="auto"/>
          <w:sz w:val="32"/>
          <w:szCs w:val="20"/>
          <w:highlight w:val="none"/>
          <w:lang w:val="en-US" w:eastAsia="zh-CN"/>
        </w:rPr>
        <w:t>零售点合理容量以常住人口数量、千人持证率、卷烟销量、交通状况等因素为依据。</w:t>
      </w:r>
    </w:p>
    <w:p>
      <w:pPr>
        <w:spacing w:line="360" w:lineRule="auto"/>
        <w:ind w:firstLine="640" w:firstLineChars="200"/>
        <w:rPr>
          <w:rFonts w:hint="eastAsia" w:ascii="仿宋_GB2312" w:hAnsi="Calibri" w:eastAsia="仿宋_GB2312"/>
          <w:color w:val="auto"/>
          <w:sz w:val="32"/>
          <w:szCs w:val="20"/>
          <w:highlight w:val="none"/>
          <w:lang w:val="en-US" w:eastAsia="zh-CN"/>
        </w:rPr>
      </w:pPr>
      <w:r>
        <w:rPr>
          <w:rFonts w:hint="eastAsia" w:ascii="仿宋_GB2312" w:hAnsi="Calibri" w:eastAsia="仿宋_GB2312"/>
          <w:color w:val="auto"/>
          <w:sz w:val="32"/>
          <w:szCs w:val="20"/>
          <w:highlight w:val="none"/>
          <w:lang w:val="en-US" w:eastAsia="zh-CN"/>
        </w:rPr>
        <w:t>以商圈、住宅小区、行政村、集贸批发市场、旅游区、交通枢纽等相对独立区域为特殊市场单元。</w:t>
      </w:r>
    </w:p>
    <w:p>
      <w:pPr>
        <w:numPr>
          <w:ilvl w:val="0"/>
          <w:numId w:val="1"/>
        </w:numPr>
        <w:spacing w:line="360" w:lineRule="auto"/>
        <w:ind w:firstLine="640" w:firstLineChars="200"/>
        <w:rPr>
          <w:rFonts w:hint="eastAsia" w:ascii="仿宋_GB2312" w:hAnsi="仿宋_GB2312" w:eastAsia="仿宋_GB2312" w:cs="仿宋_GB2312"/>
          <w:color w:val="auto"/>
          <w:sz w:val="32"/>
          <w:szCs w:val="20"/>
          <w:highlight w:val="none"/>
          <w:lang w:val="en-US" w:eastAsia="zh-CN"/>
        </w:rPr>
      </w:pPr>
      <w:r>
        <w:rPr>
          <w:rFonts w:hint="eastAsia" w:ascii="黑体" w:hAnsi="黑体" w:eastAsia="黑体" w:cs="黑体"/>
          <w:color w:val="auto"/>
          <w:sz w:val="32"/>
          <w:szCs w:val="20"/>
          <w:highlight w:val="none"/>
          <w:lang w:val="en-US" w:eastAsia="zh-CN"/>
        </w:rPr>
        <w:t xml:space="preserve"> </w:t>
      </w:r>
      <w:r>
        <w:rPr>
          <w:rFonts w:hint="eastAsia" w:ascii="仿宋_GB2312" w:hAnsi="仿宋_GB2312" w:eastAsia="仿宋_GB2312" w:cs="仿宋_GB2312"/>
          <w:color w:val="auto"/>
          <w:sz w:val="32"/>
          <w:szCs w:val="20"/>
          <w:highlight w:val="none"/>
          <w:lang w:val="en-US" w:eastAsia="zh-CN"/>
        </w:rPr>
        <w:t>莱城区局依据区域发展前景、经济发展水平、消费能力、卷烟消费需求等因素，每年开展综合评估，确定辖区内各一般市场单元可新办证数量，并向社会公布。</w:t>
      </w:r>
    </w:p>
    <w:p>
      <w:pPr>
        <w:numPr>
          <w:ilvl w:val="0"/>
          <w:numId w:val="0"/>
        </w:numPr>
        <w:spacing w:line="360" w:lineRule="auto"/>
        <w:ind w:firstLine="640" w:firstLineChars="200"/>
        <w:rPr>
          <w:rFonts w:hint="default" w:ascii="黑体" w:hAnsi="黑体" w:eastAsia="黑体" w:cs="黑体"/>
          <w:color w:val="auto"/>
          <w:sz w:val="32"/>
          <w:szCs w:val="20"/>
          <w:highlight w:val="none"/>
          <w:lang w:val="en-US" w:eastAsia="zh-CN"/>
        </w:rPr>
      </w:pPr>
      <w:r>
        <w:rPr>
          <w:rFonts w:hint="eastAsia" w:ascii="仿宋_GB2312" w:hAnsi="仿宋_GB2312" w:eastAsia="仿宋_GB2312" w:cs="仿宋_GB2312"/>
          <w:color w:val="auto"/>
          <w:sz w:val="32"/>
          <w:szCs w:val="20"/>
          <w:highlight w:val="none"/>
          <w:lang w:val="en-US" w:eastAsia="zh-CN"/>
        </w:rPr>
        <w:t>对于已达到合理容量的一般市场单元采取排队轮候制度，达到合理容量后采取退一进一管理。</w:t>
      </w:r>
    </w:p>
    <w:p>
      <w:pPr>
        <w:spacing w:line="360" w:lineRule="auto"/>
        <w:ind w:firstLine="640" w:firstLineChars="200"/>
        <w:rPr>
          <w:rFonts w:ascii="仿宋_GB2312" w:hAnsi="Calibri" w:eastAsia="仿宋_GB2312"/>
          <w:color w:val="auto"/>
          <w:sz w:val="32"/>
          <w:szCs w:val="20"/>
        </w:rPr>
      </w:pPr>
      <w:r>
        <w:rPr>
          <w:rFonts w:hint="eastAsia" w:ascii="黑体" w:hAnsi="黑体" w:eastAsia="黑体"/>
          <w:color w:val="auto"/>
          <w:sz w:val="32"/>
          <w:szCs w:val="20"/>
        </w:rPr>
        <w:t>第</w:t>
      </w:r>
      <w:r>
        <w:rPr>
          <w:rFonts w:hint="eastAsia" w:ascii="黑体" w:hAnsi="黑体" w:eastAsia="黑体"/>
          <w:color w:val="auto"/>
          <w:sz w:val="32"/>
          <w:szCs w:val="20"/>
          <w:lang w:val="en-US" w:eastAsia="zh-CN"/>
        </w:rPr>
        <w:t>六</w:t>
      </w:r>
      <w:r>
        <w:rPr>
          <w:rFonts w:hint="eastAsia" w:ascii="黑体" w:hAnsi="黑体" w:eastAsia="黑体"/>
          <w:color w:val="auto"/>
          <w:sz w:val="32"/>
          <w:szCs w:val="20"/>
        </w:rPr>
        <w:t>条</w:t>
      </w:r>
      <w:r>
        <w:rPr>
          <w:rFonts w:hint="eastAsia" w:ascii="仿宋_GB2312" w:hAnsi="Calibri" w:eastAsia="仿宋_GB2312"/>
          <w:color w:val="auto"/>
          <w:sz w:val="32"/>
          <w:szCs w:val="20"/>
        </w:rPr>
        <w:t xml:space="preserve">  </w:t>
      </w:r>
      <w:r>
        <w:rPr>
          <w:rFonts w:hint="eastAsia" w:ascii="仿宋_GB2312" w:hAnsi="Calibri" w:eastAsia="仿宋_GB2312"/>
          <w:color w:val="auto"/>
          <w:sz w:val="32"/>
          <w:szCs w:val="20"/>
          <w:lang w:val="en-US" w:eastAsia="zh-CN"/>
        </w:rPr>
        <w:t>下列特殊市场单元</w:t>
      </w:r>
      <w:r>
        <w:rPr>
          <w:rFonts w:hint="eastAsia" w:ascii="仿宋_GB2312" w:hAnsi="Calibri" w:eastAsia="仿宋_GB2312"/>
          <w:color w:val="auto"/>
          <w:sz w:val="32"/>
          <w:szCs w:val="20"/>
        </w:rPr>
        <w:t>零售点的</w:t>
      </w:r>
      <w:r>
        <w:rPr>
          <w:rFonts w:hint="eastAsia" w:ascii="仿宋_GB2312" w:hAnsi="Calibri" w:eastAsia="仿宋_GB2312"/>
          <w:color w:val="auto"/>
          <w:sz w:val="32"/>
          <w:szCs w:val="20"/>
          <w:lang w:val="en-US" w:eastAsia="zh-CN"/>
        </w:rPr>
        <w:t>设置，受一般市场单元零售点合理容量限制，并</w:t>
      </w:r>
      <w:r>
        <w:rPr>
          <w:rFonts w:hint="eastAsia" w:ascii="仿宋_GB2312" w:hAnsi="Calibri" w:eastAsia="仿宋_GB2312"/>
          <w:color w:val="auto"/>
          <w:sz w:val="32"/>
          <w:szCs w:val="20"/>
        </w:rPr>
        <w:t>应当符合下列标准：</w:t>
      </w:r>
    </w:p>
    <w:p>
      <w:pPr>
        <w:spacing w:line="360" w:lineRule="auto"/>
        <w:ind w:firstLine="640" w:firstLineChars="200"/>
        <w:rPr>
          <w:rFonts w:hint="default" w:ascii="仿宋_GB2312" w:hAnsi="Calibri" w:eastAsia="仿宋_GB2312"/>
          <w:color w:val="auto"/>
          <w:sz w:val="32"/>
          <w:szCs w:val="20"/>
          <w:lang w:val="en-US" w:eastAsia="zh-CN"/>
        </w:rPr>
      </w:pPr>
      <w:r>
        <w:rPr>
          <w:rFonts w:hint="eastAsia" w:ascii="仿宋_GB2312" w:hAnsi="Calibri" w:eastAsia="仿宋_GB2312"/>
          <w:color w:val="auto"/>
          <w:sz w:val="32"/>
          <w:szCs w:val="20"/>
        </w:rPr>
        <w:t>（一）城区和乡镇驻地街道、社区零售点间隔距离不低于</w:t>
      </w:r>
      <w:r>
        <w:rPr>
          <w:rFonts w:hint="eastAsia" w:ascii="仿宋_GB2312" w:hAnsi="Calibri" w:eastAsia="仿宋_GB2312"/>
          <w:b w:val="0"/>
          <w:bCs w:val="0"/>
          <w:color w:val="auto"/>
          <w:sz w:val="32"/>
          <w:szCs w:val="20"/>
          <w:highlight w:val="none"/>
          <w:lang w:val="en-US" w:eastAsia="zh-CN"/>
        </w:rPr>
        <w:t>80</w:t>
      </w:r>
      <w:r>
        <w:rPr>
          <w:rFonts w:hint="eastAsia" w:ascii="仿宋_GB2312" w:hAnsi="Calibri" w:eastAsia="仿宋_GB2312"/>
          <w:b w:val="0"/>
          <w:bCs w:val="0"/>
          <w:color w:val="auto"/>
          <w:sz w:val="32"/>
          <w:szCs w:val="20"/>
          <w:highlight w:val="none"/>
        </w:rPr>
        <w:t>米。</w:t>
      </w:r>
    </w:p>
    <w:p>
      <w:pPr>
        <w:spacing w:line="360" w:lineRule="auto"/>
        <w:ind w:firstLine="640" w:firstLineChars="200"/>
        <w:rPr>
          <w:rFonts w:ascii="仿宋_GB2312" w:hAnsi="Calibri" w:eastAsia="仿宋_GB2312"/>
          <w:color w:val="auto"/>
          <w:sz w:val="32"/>
          <w:szCs w:val="20"/>
        </w:rPr>
      </w:pPr>
      <w:r>
        <w:rPr>
          <w:rFonts w:hint="eastAsia" w:ascii="仿宋_GB2312" w:hAnsi="Calibri" w:eastAsia="仿宋_GB2312"/>
          <w:color w:val="auto"/>
          <w:sz w:val="32"/>
          <w:szCs w:val="20"/>
        </w:rPr>
        <w:t>（二）各类综合商品批发市场、专业市场、集贸市场、大型商业综合体等区域内经营业户在100户以内的，零售点应控制在3个以内；超过100户的，最多不超过5个。其中沿街的零售点布局，应同时符合本条第（一）项的标准。</w:t>
      </w:r>
    </w:p>
    <w:p>
      <w:pPr>
        <w:spacing w:line="360" w:lineRule="auto"/>
        <w:ind w:firstLine="640" w:firstLineChars="200"/>
        <w:rPr>
          <w:rFonts w:ascii="仿宋_GB2312" w:hAnsi="Calibri" w:eastAsia="仿宋_GB2312"/>
          <w:color w:val="auto"/>
          <w:sz w:val="32"/>
          <w:szCs w:val="20"/>
        </w:rPr>
      </w:pPr>
      <w:r>
        <w:rPr>
          <w:rFonts w:hint="eastAsia" w:ascii="仿宋_GB2312" w:hAnsi="Calibri" w:eastAsia="仿宋_GB2312"/>
          <w:color w:val="auto"/>
          <w:sz w:val="32"/>
          <w:szCs w:val="20"/>
        </w:rPr>
        <w:t>（三）封闭式居民小区内住宅套数300户以内的零售点控制在2个以内，每增加300户增设1个零售点，且同时符合本条第（一）项的标准。</w:t>
      </w:r>
    </w:p>
    <w:p>
      <w:pPr>
        <w:spacing w:line="360" w:lineRule="auto"/>
        <w:ind w:firstLine="640" w:firstLineChars="200"/>
        <w:rPr>
          <w:rFonts w:ascii="仿宋_GB2312" w:hAnsi="Calibri" w:eastAsia="仿宋_GB2312"/>
          <w:color w:val="auto"/>
          <w:sz w:val="32"/>
          <w:szCs w:val="20"/>
        </w:rPr>
      </w:pPr>
      <w:r>
        <w:rPr>
          <w:rFonts w:hint="eastAsia" w:ascii="仿宋_GB2312" w:hAnsi="Calibri" w:eastAsia="仿宋_GB2312"/>
          <w:color w:val="auto"/>
          <w:sz w:val="32"/>
          <w:szCs w:val="20"/>
        </w:rPr>
        <w:t>（四）</w:t>
      </w:r>
      <w:r>
        <w:rPr>
          <w:rFonts w:hint="eastAsia" w:ascii="仿宋_GB2312" w:hAnsi="Calibri" w:eastAsia="仿宋_GB2312"/>
          <w:color w:val="auto"/>
          <w:sz w:val="32"/>
          <w:szCs w:val="20"/>
          <w:highlight w:val="none"/>
        </w:rPr>
        <w:t>农村</w:t>
      </w:r>
      <w:r>
        <w:rPr>
          <w:rFonts w:hint="eastAsia" w:ascii="仿宋_GB2312" w:hAnsi="Calibri" w:eastAsia="仿宋_GB2312"/>
          <w:color w:val="auto"/>
          <w:sz w:val="32"/>
          <w:szCs w:val="20"/>
          <w:highlight w:val="none"/>
          <w:lang w:val="en-US" w:eastAsia="zh-CN"/>
        </w:rPr>
        <w:t>行政村</w:t>
      </w:r>
      <w:r>
        <w:rPr>
          <w:rFonts w:hint="default" w:ascii="仿宋_GB2312" w:hAnsi="微软雅黑" w:eastAsia="仿宋_GB2312" w:cs="仿宋_GB2312"/>
          <w:i w:val="0"/>
          <w:iCs w:val="0"/>
          <w:caps w:val="0"/>
          <w:color w:val="auto"/>
          <w:spacing w:val="0"/>
          <w:kern w:val="0"/>
          <w:sz w:val="31"/>
          <w:szCs w:val="31"/>
          <w:highlight w:val="none"/>
          <w:lang w:val="en-US" w:eastAsia="zh-CN" w:bidi="ar"/>
        </w:rPr>
        <w:t>（含新建集中居住区）</w:t>
      </w:r>
      <w:r>
        <w:rPr>
          <w:rFonts w:hint="eastAsia" w:ascii="仿宋_GB2312" w:hAnsi="Calibri" w:eastAsia="仿宋_GB2312"/>
          <w:color w:val="auto"/>
          <w:sz w:val="32"/>
          <w:szCs w:val="20"/>
        </w:rPr>
        <w:t>按照</w:t>
      </w:r>
      <w:r>
        <w:rPr>
          <w:rFonts w:hint="eastAsia" w:ascii="仿宋_GB2312" w:hAnsi="Calibri" w:eastAsia="仿宋_GB2312"/>
          <w:b w:val="0"/>
          <w:bCs w:val="0"/>
          <w:color w:val="auto"/>
          <w:sz w:val="32"/>
          <w:szCs w:val="20"/>
          <w:lang w:val="en-US" w:eastAsia="zh-CN"/>
        </w:rPr>
        <w:t>常住人口</w:t>
      </w:r>
      <w:r>
        <w:rPr>
          <w:rFonts w:hint="eastAsia" w:ascii="仿宋_GB2312" w:hAnsi="Calibri" w:eastAsia="仿宋_GB2312"/>
          <w:color w:val="auto"/>
          <w:sz w:val="32"/>
          <w:szCs w:val="20"/>
        </w:rPr>
        <w:t>不足400人的零售点控制在</w:t>
      </w:r>
      <w:r>
        <w:rPr>
          <w:rFonts w:hint="eastAsia" w:ascii="仿宋_GB2312" w:hAnsi="Calibri" w:eastAsia="仿宋_GB2312"/>
          <w:color w:val="auto"/>
          <w:sz w:val="32"/>
          <w:szCs w:val="20"/>
          <w:lang w:val="en-US" w:eastAsia="zh-CN"/>
        </w:rPr>
        <w:t>1</w:t>
      </w:r>
      <w:r>
        <w:rPr>
          <w:rFonts w:hint="eastAsia" w:ascii="仿宋_GB2312" w:hAnsi="Calibri" w:eastAsia="仿宋_GB2312"/>
          <w:color w:val="auto"/>
          <w:sz w:val="32"/>
          <w:szCs w:val="20"/>
        </w:rPr>
        <w:t>个以内，每增加400人增设1个零售点，最多不超过5个。营业面积在100平方以上的超市、便利店、连锁店等经营业户，可适当放宽，但零售点总数最多不超过10个。</w:t>
      </w:r>
    </w:p>
    <w:p>
      <w:pPr>
        <w:spacing w:line="360" w:lineRule="auto"/>
        <w:ind w:firstLine="640" w:firstLineChars="200"/>
        <w:rPr>
          <w:rFonts w:ascii="仿宋_GB2312" w:hAnsi="Calibri" w:eastAsia="仿宋_GB2312"/>
          <w:color w:val="auto"/>
          <w:sz w:val="32"/>
          <w:szCs w:val="20"/>
        </w:rPr>
      </w:pPr>
      <w:r>
        <w:rPr>
          <w:rFonts w:hint="eastAsia" w:ascii="仿宋_GB2312" w:hAnsi="Calibri" w:eastAsia="仿宋_GB2312"/>
          <w:color w:val="auto"/>
          <w:sz w:val="32"/>
          <w:szCs w:val="20"/>
        </w:rPr>
        <w:t>（五）营业面积（不包括独立的仓储、办公场所、公共通道、停车场等）在100平方米以上的商场、超市、便利店、连锁店等经营业户，不受本条第（一）项限制。</w:t>
      </w:r>
    </w:p>
    <w:p>
      <w:pPr>
        <w:spacing w:line="360" w:lineRule="auto"/>
        <w:ind w:firstLine="640" w:firstLineChars="200"/>
        <w:rPr>
          <w:rFonts w:ascii="仿宋_GB2312" w:hAnsi="Calibri" w:eastAsia="仿宋_GB2312"/>
          <w:color w:val="auto"/>
          <w:sz w:val="32"/>
          <w:szCs w:val="20"/>
        </w:rPr>
      </w:pPr>
      <w:r>
        <w:rPr>
          <w:rFonts w:hint="eastAsia" w:ascii="仿宋_GB2312" w:hAnsi="Calibri" w:eastAsia="仿宋_GB2312"/>
          <w:color w:val="auto"/>
          <w:sz w:val="32"/>
          <w:szCs w:val="20"/>
        </w:rPr>
        <w:t>（六）营业面积在1000平方米以上的宾馆、饭店、酒楼、度假村及纪念馆、展览馆、体育场馆等相对封闭以满足停留在设施内特定顾客消费的经营场所，不受本条第（一）项限制，可设1-2个零售点。</w:t>
      </w:r>
    </w:p>
    <w:p>
      <w:pPr>
        <w:spacing w:line="360" w:lineRule="auto"/>
        <w:ind w:firstLine="640" w:firstLineChars="200"/>
        <w:rPr>
          <w:rFonts w:ascii="仿宋_GB2312" w:hAnsi="Calibri" w:eastAsia="仿宋_GB2312"/>
          <w:color w:val="auto"/>
          <w:sz w:val="32"/>
          <w:szCs w:val="20"/>
        </w:rPr>
      </w:pPr>
      <w:r>
        <w:rPr>
          <w:rFonts w:hint="eastAsia" w:ascii="仿宋_GB2312" w:hAnsi="Calibri" w:eastAsia="仿宋_GB2312"/>
          <w:color w:val="auto"/>
          <w:sz w:val="32"/>
          <w:szCs w:val="20"/>
        </w:rPr>
        <w:t>（</w:t>
      </w:r>
      <w:r>
        <w:rPr>
          <w:rFonts w:hint="eastAsia" w:ascii="仿宋_GB2312" w:hAnsi="Calibri" w:eastAsia="仿宋_GB2312"/>
          <w:color w:val="auto"/>
          <w:sz w:val="32"/>
          <w:szCs w:val="20"/>
          <w:lang w:val="en-US" w:eastAsia="zh-CN"/>
        </w:rPr>
        <w:t>七</w:t>
      </w:r>
      <w:r>
        <w:rPr>
          <w:rFonts w:hint="eastAsia" w:ascii="仿宋_GB2312" w:hAnsi="Calibri" w:eastAsia="仿宋_GB2312"/>
          <w:color w:val="auto"/>
          <w:sz w:val="32"/>
          <w:szCs w:val="20"/>
        </w:rPr>
        <w:t>）商用办公楼宇内、公寓楼宇内等入户大堂、公共空间已形成实际商品展卖场所的，每栋楼宇内可设置1-2个零售点。</w:t>
      </w:r>
    </w:p>
    <w:p>
      <w:pPr>
        <w:spacing w:line="360" w:lineRule="auto"/>
        <w:ind w:firstLine="643" w:firstLineChars="200"/>
        <w:rPr>
          <w:rFonts w:hint="eastAsia" w:ascii="仿宋_GB2312" w:hAnsi="Calibri" w:eastAsia="仿宋_GB2312"/>
          <w:color w:val="auto"/>
          <w:sz w:val="32"/>
          <w:szCs w:val="20"/>
        </w:rPr>
      </w:pPr>
      <w:r>
        <w:rPr>
          <w:rFonts w:hint="eastAsia" w:ascii="黑体" w:hAnsi="黑体" w:eastAsia="黑体" w:cs="黑体"/>
          <w:b/>
          <w:bCs/>
          <w:color w:val="auto"/>
          <w:sz w:val="32"/>
          <w:szCs w:val="20"/>
          <w:lang w:val="en-US" w:eastAsia="zh-CN"/>
        </w:rPr>
        <w:t>第七条</w:t>
      </w:r>
      <w:r>
        <w:rPr>
          <w:rFonts w:hint="eastAsia" w:ascii="仿宋_GB2312" w:hAnsi="Calibri" w:eastAsia="仿宋_GB2312"/>
          <w:color w:val="auto"/>
          <w:sz w:val="32"/>
          <w:szCs w:val="20"/>
          <w:lang w:val="en-US" w:eastAsia="zh-CN"/>
        </w:rPr>
        <w:t xml:space="preserve"> 下列特殊市场单元</w:t>
      </w:r>
      <w:r>
        <w:rPr>
          <w:rFonts w:hint="eastAsia" w:ascii="仿宋_GB2312" w:hAnsi="Calibri" w:eastAsia="仿宋_GB2312"/>
          <w:color w:val="auto"/>
          <w:sz w:val="32"/>
          <w:szCs w:val="20"/>
        </w:rPr>
        <w:t>零售点的</w:t>
      </w:r>
      <w:r>
        <w:rPr>
          <w:rFonts w:hint="eastAsia" w:ascii="仿宋_GB2312" w:hAnsi="Calibri" w:eastAsia="仿宋_GB2312"/>
          <w:color w:val="auto"/>
          <w:sz w:val="32"/>
          <w:szCs w:val="20"/>
          <w:lang w:val="en-US" w:eastAsia="zh-CN"/>
        </w:rPr>
        <w:t>设置，不受一般市场单元零售点合理容量限制，但</w:t>
      </w:r>
      <w:r>
        <w:rPr>
          <w:rFonts w:hint="eastAsia" w:ascii="仿宋_GB2312" w:hAnsi="Calibri" w:eastAsia="仿宋_GB2312"/>
          <w:color w:val="auto"/>
          <w:sz w:val="32"/>
          <w:szCs w:val="20"/>
        </w:rPr>
        <w:t>应当符合下列标准：</w:t>
      </w:r>
    </w:p>
    <w:p>
      <w:pPr>
        <w:spacing w:line="360" w:lineRule="auto"/>
        <w:ind w:firstLine="640" w:firstLineChars="200"/>
        <w:rPr>
          <w:rFonts w:hint="default" w:ascii="仿宋_GB2312" w:hAnsi="Calibri" w:eastAsia="仿宋_GB2312"/>
          <w:color w:val="auto"/>
          <w:sz w:val="32"/>
          <w:szCs w:val="20"/>
          <w:lang w:val="en-US" w:eastAsia="zh-CN"/>
        </w:rPr>
      </w:pPr>
      <w:r>
        <w:rPr>
          <w:rFonts w:hint="eastAsia" w:ascii="仿宋_GB2312" w:hAnsi="Calibri" w:eastAsia="仿宋_GB2312"/>
          <w:color w:val="auto"/>
          <w:sz w:val="32"/>
          <w:szCs w:val="20"/>
        </w:rPr>
        <w:t>AAA级以上旅游景点、客运交通枢纽、机场、轨道交通站点等流动人口密集区内，可设置</w:t>
      </w:r>
      <w:r>
        <w:rPr>
          <w:rFonts w:hint="eastAsia" w:ascii="仿宋_GB2312" w:hAnsi="Calibri" w:eastAsia="仿宋_GB2312"/>
          <w:color w:val="auto"/>
          <w:sz w:val="32"/>
          <w:szCs w:val="20"/>
          <w:lang w:val="en-US" w:eastAsia="zh-CN"/>
        </w:rPr>
        <w:t>1-2</w:t>
      </w:r>
      <w:r>
        <w:rPr>
          <w:rFonts w:hint="eastAsia" w:ascii="仿宋_GB2312" w:hAnsi="Calibri" w:eastAsia="仿宋_GB2312"/>
          <w:color w:val="auto"/>
          <w:sz w:val="32"/>
          <w:szCs w:val="20"/>
        </w:rPr>
        <w:t>零售点。</w:t>
      </w:r>
    </w:p>
    <w:p>
      <w:pPr>
        <w:numPr>
          <w:ilvl w:val="0"/>
          <w:numId w:val="2"/>
        </w:numPr>
        <w:spacing w:line="360" w:lineRule="auto"/>
        <w:ind w:firstLine="640" w:firstLineChars="200"/>
        <w:rPr>
          <w:rFonts w:hint="eastAsia" w:ascii="仿宋_GB2312" w:hAnsi="Calibri" w:eastAsia="仿宋_GB2312"/>
          <w:color w:val="auto"/>
          <w:sz w:val="32"/>
          <w:szCs w:val="20"/>
        </w:rPr>
      </w:pPr>
      <w:r>
        <w:rPr>
          <w:rFonts w:hint="eastAsia" w:ascii="仿宋_GB2312" w:hAnsi="Calibri" w:eastAsia="仿宋_GB2312"/>
          <w:color w:val="auto"/>
          <w:sz w:val="32"/>
          <w:szCs w:val="20"/>
        </w:rPr>
        <w:t xml:space="preserve"> 本市的复退军人、应届大中专毕业生等自主创业人员、军烈属、特困人员、低保户、失业待业人员申办卷烟零售点，且本人从事个体经营的，可在第</w:t>
      </w:r>
      <w:r>
        <w:rPr>
          <w:rFonts w:hint="eastAsia" w:ascii="仿宋_GB2312" w:hAnsi="Calibri" w:eastAsia="仿宋_GB2312"/>
          <w:color w:val="auto"/>
          <w:sz w:val="32"/>
          <w:szCs w:val="20"/>
          <w:lang w:val="en-US" w:eastAsia="zh-CN"/>
        </w:rPr>
        <w:t>六</w:t>
      </w:r>
      <w:r>
        <w:rPr>
          <w:rFonts w:hint="eastAsia" w:ascii="仿宋_GB2312" w:hAnsi="Calibri" w:eastAsia="仿宋_GB2312"/>
          <w:color w:val="auto"/>
          <w:sz w:val="32"/>
          <w:szCs w:val="20"/>
        </w:rPr>
        <w:t>条第（一）项标准基础上放宽20%。</w:t>
      </w:r>
    </w:p>
    <w:p>
      <w:pPr>
        <w:numPr>
          <w:ilvl w:val="0"/>
          <w:numId w:val="0"/>
        </w:numPr>
        <w:spacing w:line="360" w:lineRule="auto"/>
        <w:rPr>
          <w:rFonts w:hint="eastAsia" w:ascii="仿宋_GB2312" w:hAnsi="Calibri" w:eastAsia="仿宋_GB2312"/>
          <w:color w:val="auto"/>
          <w:sz w:val="32"/>
          <w:szCs w:val="20"/>
          <w:lang w:val="en-US" w:eastAsia="zh-CN"/>
        </w:rPr>
      </w:pPr>
      <w:r>
        <w:rPr>
          <w:rFonts w:hint="eastAsia" w:ascii="仿宋_GB2312" w:hAnsi="Calibri" w:eastAsia="仿宋_GB2312"/>
          <w:color w:val="auto"/>
          <w:sz w:val="32"/>
          <w:szCs w:val="20"/>
          <w:lang w:val="en-US" w:eastAsia="zh-CN"/>
        </w:rPr>
        <w:t xml:space="preserve">    残疾人申请专卖零售许可证的，在同等条件下优先扶持、优先办理；对于首次申请的，不受</w:t>
      </w:r>
      <w:r>
        <w:rPr>
          <w:rFonts w:hint="eastAsia" w:ascii="仿宋_GB2312" w:hAnsi="Calibri" w:eastAsia="仿宋_GB2312"/>
          <w:color w:val="auto"/>
          <w:sz w:val="32"/>
          <w:szCs w:val="20"/>
        </w:rPr>
        <w:t>第</w:t>
      </w:r>
      <w:r>
        <w:rPr>
          <w:rFonts w:hint="eastAsia" w:ascii="仿宋_GB2312" w:hAnsi="Calibri" w:eastAsia="仿宋_GB2312"/>
          <w:color w:val="auto"/>
          <w:sz w:val="32"/>
          <w:szCs w:val="20"/>
          <w:lang w:val="en-US" w:eastAsia="zh-CN"/>
        </w:rPr>
        <w:t>六</w:t>
      </w:r>
      <w:r>
        <w:rPr>
          <w:rFonts w:hint="eastAsia" w:ascii="仿宋_GB2312" w:hAnsi="Calibri" w:eastAsia="仿宋_GB2312"/>
          <w:color w:val="auto"/>
          <w:sz w:val="32"/>
          <w:szCs w:val="20"/>
        </w:rPr>
        <w:t>条第（一）项</w:t>
      </w:r>
      <w:r>
        <w:rPr>
          <w:rFonts w:hint="eastAsia" w:ascii="仿宋_GB2312" w:hAnsi="Calibri" w:eastAsia="仿宋_GB2312"/>
          <w:color w:val="auto"/>
          <w:sz w:val="32"/>
          <w:szCs w:val="20"/>
          <w:lang w:val="en-US" w:eastAsia="zh-CN"/>
        </w:rPr>
        <w:t>限制。</w:t>
      </w:r>
    </w:p>
    <w:p>
      <w:pPr>
        <w:spacing w:line="360" w:lineRule="auto"/>
        <w:ind w:firstLine="640" w:firstLineChars="200"/>
        <w:rPr>
          <w:rFonts w:ascii="仿宋_GB2312" w:hAnsi="Calibri" w:eastAsia="仿宋_GB2312"/>
          <w:color w:val="auto"/>
          <w:sz w:val="32"/>
          <w:szCs w:val="20"/>
        </w:rPr>
      </w:pPr>
      <w:r>
        <w:rPr>
          <w:rFonts w:hint="eastAsia" w:ascii="黑体" w:hAnsi="黑体" w:eastAsia="黑体"/>
          <w:color w:val="auto"/>
          <w:sz w:val="32"/>
          <w:szCs w:val="20"/>
        </w:rPr>
        <w:t>第</w:t>
      </w:r>
      <w:r>
        <w:rPr>
          <w:rFonts w:hint="eastAsia" w:ascii="黑体" w:hAnsi="黑体" w:eastAsia="黑体"/>
          <w:color w:val="auto"/>
          <w:sz w:val="32"/>
          <w:szCs w:val="20"/>
          <w:lang w:val="en-US" w:eastAsia="zh-CN"/>
        </w:rPr>
        <w:t>九</w:t>
      </w:r>
      <w:r>
        <w:rPr>
          <w:rFonts w:hint="eastAsia" w:ascii="黑体" w:hAnsi="黑体" w:eastAsia="黑体"/>
          <w:color w:val="auto"/>
          <w:sz w:val="32"/>
          <w:szCs w:val="20"/>
        </w:rPr>
        <w:t>条</w:t>
      </w:r>
      <w:r>
        <w:rPr>
          <w:rFonts w:hint="eastAsia" w:ascii="仿宋_GB2312" w:hAnsi="Calibri" w:eastAsia="仿宋_GB2312"/>
          <w:color w:val="auto"/>
          <w:sz w:val="32"/>
          <w:szCs w:val="20"/>
        </w:rPr>
        <w:t xml:space="preserve">  已取得烟草专卖零售许可证的单位或个人在许可证有效期内经营地址发生变化，重新申领烟草专卖零售许可证，其布局应符合本规定。其中因道路规划、城市建设等客观原因改变经营地址的，不受本规定第</w:t>
      </w:r>
      <w:r>
        <w:rPr>
          <w:rFonts w:hint="eastAsia" w:ascii="仿宋_GB2312" w:hAnsi="Calibri" w:eastAsia="仿宋_GB2312"/>
          <w:color w:val="auto"/>
          <w:sz w:val="32"/>
          <w:szCs w:val="20"/>
          <w:lang w:val="en-US" w:eastAsia="zh-CN"/>
        </w:rPr>
        <w:t>六</w:t>
      </w:r>
      <w:r>
        <w:rPr>
          <w:rFonts w:hint="eastAsia" w:ascii="仿宋_GB2312" w:hAnsi="Calibri" w:eastAsia="仿宋_GB2312"/>
          <w:color w:val="auto"/>
          <w:sz w:val="32"/>
          <w:szCs w:val="20"/>
        </w:rPr>
        <w:t>条第（一）项</w:t>
      </w:r>
      <w:r>
        <w:rPr>
          <w:rFonts w:hint="eastAsia" w:ascii="仿宋_GB2312" w:hAnsi="Calibri" w:eastAsia="仿宋_GB2312"/>
          <w:color w:val="auto"/>
          <w:sz w:val="32"/>
          <w:szCs w:val="20"/>
          <w:lang w:eastAsia="zh-CN"/>
        </w:rPr>
        <w:t>、</w:t>
      </w:r>
      <w:r>
        <w:rPr>
          <w:rFonts w:hint="eastAsia" w:ascii="仿宋_GB2312" w:hAnsi="Calibri" w:eastAsia="仿宋_GB2312"/>
          <w:color w:val="auto"/>
          <w:sz w:val="32"/>
          <w:szCs w:val="20"/>
        </w:rPr>
        <w:t>第</w:t>
      </w:r>
      <w:r>
        <w:rPr>
          <w:rFonts w:hint="eastAsia" w:ascii="仿宋_GB2312" w:hAnsi="Calibri" w:eastAsia="仿宋_GB2312"/>
          <w:color w:val="auto"/>
          <w:sz w:val="32"/>
          <w:szCs w:val="20"/>
          <w:lang w:val="en-US" w:eastAsia="zh-CN"/>
        </w:rPr>
        <w:t>十三</w:t>
      </w:r>
      <w:r>
        <w:rPr>
          <w:rFonts w:hint="eastAsia" w:ascii="仿宋_GB2312" w:hAnsi="Calibri" w:eastAsia="仿宋_GB2312"/>
          <w:color w:val="auto"/>
          <w:sz w:val="32"/>
          <w:szCs w:val="20"/>
        </w:rPr>
        <w:t>条第（</w:t>
      </w:r>
      <w:r>
        <w:rPr>
          <w:rFonts w:hint="eastAsia" w:ascii="仿宋_GB2312" w:hAnsi="Calibri" w:eastAsia="仿宋_GB2312"/>
          <w:color w:val="auto"/>
          <w:sz w:val="32"/>
          <w:szCs w:val="20"/>
          <w:lang w:val="en-US" w:eastAsia="zh-CN"/>
        </w:rPr>
        <w:t>四</w:t>
      </w:r>
      <w:r>
        <w:rPr>
          <w:rFonts w:hint="eastAsia" w:ascii="仿宋_GB2312" w:hAnsi="Calibri" w:eastAsia="仿宋_GB2312"/>
          <w:color w:val="auto"/>
          <w:sz w:val="32"/>
          <w:szCs w:val="20"/>
        </w:rPr>
        <w:t>）项限制。</w:t>
      </w:r>
    </w:p>
    <w:p>
      <w:pPr>
        <w:spacing w:line="360" w:lineRule="auto"/>
        <w:ind w:firstLine="640" w:firstLineChars="200"/>
        <w:rPr>
          <w:rFonts w:ascii="仿宋_GB2312" w:hAnsi="Calibri" w:eastAsia="仿宋_GB2312"/>
          <w:color w:val="auto"/>
          <w:sz w:val="32"/>
          <w:szCs w:val="20"/>
        </w:rPr>
      </w:pPr>
      <w:r>
        <w:rPr>
          <w:rFonts w:hint="eastAsia" w:ascii="黑体" w:hAnsi="黑体" w:eastAsia="黑体"/>
          <w:color w:val="auto"/>
          <w:sz w:val="32"/>
          <w:szCs w:val="20"/>
        </w:rPr>
        <w:t>第</w:t>
      </w:r>
      <w:r>
        <w:rPr>
          <w:rFonts w:hint="eastAsia" w:ascii="黑体" w:hAnsi="黑体" w:eastAsia="黑体"/>
          <w:color w:val="auto"/>
          <w:sz w:val="32"/>
          <w:szCs w:val="20"/>
          <w:lang w:val="en-US" w:eastAsia="zh-CN"/>
        </w:rPr>
        <w:t>十</w:t>
      </w:r>
      <w:r>
        <w:rPr>
          <w:rFonts w:hint="eastAsia" w:ascii="黑体" w:hAnsi="黑体" w:eastAsia="黑体"/>
          <w:color w:val="auto"/>
          <w:sz w:val="32"/>
          <w:szCs w:val="20"/>
        </w:rPr>
        <w:t>条</w:t>
      </w:r>
      <w:r>
        <w:rPr>
          <w:rFonts w:hint="eastAsia" w:ascii="仿宋_GB2312" w:hAnsi="Calibri" w:eastAsia="仿宋_GB2312"/>
          <w:color w:val="auto"/>
          <w:sz w:val="32"/>
          <w:szCs w:val="20"/>
        </w:rPr>
        <w:t xml:space="preserve">  已取得烟草专卖零售许可证的单位或者个人在许可证有效期内，持证自然人死亡或丧失民事行为能力后家庭成员继续从事经营，法人或其他组织分立、合并及企业类型改变的，在原经营地址重新申请烟草专卖零售许可证，不受本规定第</w:t>
      </w:r>
      <w:r>
        <w:rPr>
          <w:rFonts w:hint="eastAsia" w:ascii="仿宋_GB2312" w:hAnsi="Calibri" w:eastAsia="仿宋_GB2312"/>
          <w:color w:val="auto"/>
          <w:sz w:val="32"/>
          <w:szCs w:val="20"/>
          <w:lang w:val="en-US" w:eastAsia="zh-CN"/>
        </w:rPr>
        <w:t>六</w:t>
      </w:r>
      <w:r>
        <w:rPr>
          <w:rFonts w:hint="eastAsia" w:ascii="仿宋_GB2312" w:hAnsi="Calibri" w:eastAsia="仿宋_GB2312"/>
          <w:color w:val="auto"/>
          <w:sz w:val="32"/>
          <w:szCs w:val="20"/>
        </w:rPr>
        <w:t>条</w:t>
      </w:r>
      <w:r>
        <w:rPr>
          <w:rFonts w:hint="eastAsia" w:ascii="仿宋_GB2312" w:hAnsi="Calibri" w:eastAsia="仿宋_GB2312"/>
          <w:color w:val="auto"/>
          <w:sz w:val="32"/>
          <w:szCs w:val="20"/>
          <w:lang w:eastAsia="zh-CN"/>
        </w:rPr>
        <w:t>、</w:t>
      </w:r>
      <w:r>
        <w:rPr>
          <w:rFonts w:hint="eastAsia" w:ascii="仿宋_GB2312" w:hAnsi="Calibri" w:eastAsia="仿宋_GB2312"/>
          <w:color w:val="auto"/>
          <w:sz w:val="32"/>
          <w:szCs w:val="20"/>
        </w:rPr>
        <w:t>第</w:t>
      </w:r>
      <w:r>
        <w:rPr>
          <w:rFonts w:hint="eastAsia" w:ascii="仿宋_GB2312" w:hAnsi="Calibri" w:eastAsia="仿宋_GB2312"/>
          <w:color w:val="auto"/>
          <w:sz w:val="32"/>
          <w:szCs w:val="20"/>
          <w:lang w:val="en-US" w:eastAsia="zh-CN"/>
        </w:rPr>
        <w:t>十三</w:t>
      </w:r>
      <w:r>
        <w:rPr>
          <w:rFonts w:hint="eastAsia" w:ascii="仿宋_GB2312" w:hAnsi="Calibri" w:eastAsia="仿宋_GB2312"/>
          <w:color w:val="auto"/>
          <w:sz w:val="32"/>
          <w:szCs w:val="20"/>
        </w:rPr>
        <w:t>条第（</w:t>
      </w:r>
      <w:r>
        <w:rPr>
          <w:rFonts w:hint="eastAsia" w:ascii="仿宋_GB2312" w:hAnsi="Calibri" w:eastAsia="仿宋_GB2312"/>
          <w:color w:val="auto"/>
          <w:sz w:val="32"/>
          <w:szCs w:val="20"/>
          <w:lang w:val="en-US" w:eastAsia="zh-CN"/>
        </w:rPr>
        <w:t>四</w:t>
      </w:r>
      <w:r>
        <w:rPr>
          <w:rFonts w:hint="eastAsia" w:ascii="仿宋_GB2312" w:hAnsi="Calibri" w:eastAsia="仿宋_GB2312"/>
          <w:color w:val="auto"/>
          <w:sz w:val="32"/>
          <w:szCs w:val="20"/>
        </w:rPr>
        <w:t>）项限制。</w:t>
      </w:r>
    </w:p>
    <w:p>
      <w:pPr>
        <w:spacing w:line="360" w:lineRule="auto"/>
        <w:ind w:firstLine="640" w:firstLineChars="200"/>
        <w:rPr>
          <w:rFonts w:ascii="仿宋_GB2312" w:hAnsi="Calibri" w:eastAsia="仿宋_GB2312"/>
          <w:color w:val="auto"/>
          <w:sz w:val="32"/>
          <w:szCs w:val="20"/>
        </w:rPr>
      </w:pPr>
      <w:r>
        <w:rPr>
          <w:rFonts w:hint="eastAsia" w:ascii="黑体" w:hAnsi="黑体" w:eastAsia="黑体"/>
          <w:color w:val="auto"/>
          <w:sz w:val="32"/>
          <w:szCs w:val="20"/>
        </w:rPr>
        <w:t>第</w:t>
      </w:r>
      <w:r>
        <w:rPr>
          <w:rFonts w:hint="eastAsia" w:ascii="黑体" w:hAnsi="黑体" w:eastAsia="黑体"/>
          <w:color w:val="auto"/>
          <w:sz w:val="32"/>
          <w:szCs w:val="20"/>
          <w:lang w:val="en-US" w:eastAsia="zh-CN"/>
        </w:rPr>
        <w:t>十一</w:t>
      </w:r>
      <w:r>
        <w:rPr>
          <w:rFonts w:hint="eastAsia" w:ascii="黑体" w:hAnsi="黑体" w:eastAsia="黑体"/>
          <w:color w:val="auto"/>
          <w:sz w:val="32"/>
          <w:szCs w:val="20"/>
        </w:rPr>
        <w:t>条</w:t>
      </w:r>
      <w:r>
        <w:rPr>
          <w:rFonts w:hint="eastAsia" w:ascii="仿宋_GB2312" w:hAnsi="Calibri" w:eastAsia="仿宋_GB2312"/>
          <w:color w:val="auto"/>
          <w:sz w:val="32"/>
          <w:szCs w:val="20"/>
        </w:rPr>
        <w:t xml:space="preserve">  在许可证有效期内，一个经营场所只能办理一个烟草专卖零售许可证。</w:t>
      </w:r>
    </w:p>
    <w:p>
      <w:pPr>
        <w:spacing w:line="360" w:lineRule="auto"/>
        <w:ind w:firstLine="640" w:firstLineChars="200"/>
        <w:rPr>
          <w:rFonts w:ascii="仿宋_GB2312" w:hAnsi="Calibri" w:eastAsia="仿宋_GB2312"/>
          <w:color w:val="auto"/>
          <w:sz w:val="32"/>
          <w:szCs w:val="20"/>
        </w:rPr>
      </w:pPr>
      <w:r>
        <w:rPr>
          <w:rFonts w:hint="eastAsia" w:ascii="黑体" w:hAnsi="黑体" w:eastAsia="黑体"/>
          <w:color w:val="auto"/>
          <w:sz w:val="32"/>
          <w:szCs w:val="20"/>
        </w:rPr>
        <w:t>第</w:t>
      </w:r>
      <w:r>
        <w:rPr>
          <w:rFonts w:hint="eastAsia" w:ascii="黑体" w:hAnsi="黑体" w:eastAsia="黑体"/>
          <w:color w:val="auto"/>
          <w:sz w:val="32"/>
          <w:szCs w:val="20"/>
          <w:lang w:val="en-US" w:eastAsia="zh-CN"/>
        </w:rPr>
        <w:t>十二</w:t>
      </w:r>
      <w:r>
        <w:rPr>
          <w:rFonts w:hint="eastAsia" w:ascii="黑体" w:hAnsi="黑体" w:eastAsia="黑体"/>
          <w:color w:val="auto"/>
          <w:sz w:val="32"/>
          <w:szCs w:val="20"/>
        </w:rPr>
        <w:t xml:space="preserve">条  </w:t>
      </w:r>
      <w:r>
        <w:rPr>
          <w:rFonts w:hint="eastAsia" w:ascii="仿宋_GB2312" w:hAnsi="Calibri" w:eastAsia="仿宋_GB2312"/>
          <w:color w:val="auto"/>
          <w:sz w:val="32"/>
          <w:szCs w:val="20"/>
        </w:rPr>
        <w:t>已取得烟草专卖零售许可证的单位或者个人具有以下情形的，不作为核定其他零售点的参考：</w:t>
      </w:r>
    </w:p>
    <w:p>
      <w:pPr>
        <w:spacing w:line="360" w:lineRule="auto"/>
        <w:ind w:firstLine="640" w:firstLineChars="200"/>
        <w:rPr>
          <w:rFonts w:ascii="仿宋_GB2312" w:hAnsi="Calibri" w:eastAsia="仿宋_GB2312"/>
          <w:color w:val="auto"/>
          <w:sz w:val="32"/>
          <w:szCs w:val="20"/>
        </w:rPr>
      </w:pPr>
      <w:r>
        <w:rPr>
          <w:rFonts w:hint="eastAsia" w:ascii="仿宋_GB2312" w:hAnsi="Calibri" w:eastAsia="仿宋_GB2312"/>
          <w:color w:val="auto"/>
          <w:sz w:val="32"/>
          <w:szCs w:val="20"/>
        </w:rPr>
        <w:t>（一）连续停业6个月以上或两年内累计停业超过1年的；</w:t>
      </w:r>
    </w:p>
    <w:p>
      <w:pPr>
        <w:spacing w:line="360" w:lineRule="auto"/>
        <w:ind w:firstLine="640" w:firstLineChars="200"/>
        <w:rPr>
          <w:rFonts w:ascii="仿宋_GB2312" w:hAnsi="Calibri" w:eastAsia="仿宋_GB2312"/>
          <w:color w:val="auto"/>
          <w:sz w:val="32"/>
          <w:szCs w:val="20"/>
        </w:rPr>
      </w:pPr>
      <w:r>
        <w:rPr>
          <w:rFonts w:hint="eastAsia" w:ascii="仿宋_GB2312" w:hAnsi="Calibri" w:eastAsia="仿宋_GB2312"/>
          <w:color w:val="auto"/>
          <w:sz w:val="32"/>
          <w:szCs w:val="20"/>
        </w:rPr>
        <w:t>（二）根据第</w:t>
      </w:r>
      <w:r>
        <w:rPr>
          <w:rFonts w:hint="eastAsia" w:ascii="仿宋_GB2312" w:hAnsi="Calibri" w:eastAsia="仿宋_GB2312"/>
          <w:color w:val="auto"/>
          <w:sz w:val="32"/>
          <w:szCs w:val="20"/>
          <w:lang w:val="en-US" w:eastAsia="zh-CN"/>
        </w:rPr>
        <w:t>六</w:t>
      </w:r>
      <w:r>
        <w:rPr>
          <w:rFonts w:hint="eastAsia" w:ascii="仿宋_GB2312" w:hAnsi="Calibri" w:eastAsia="仿宋_GB2312"/>
          <w:color w:val="auto"/>
          <w:sz w:val="32"/>
          <w:szCs w:val="20"/>
        </w:rPr>
        <w:t>条第（六）项规定办理的满足停留在设施内部特定顾客消费的；</w:t>
      </w:r>
    </w:p>
    <w:p>
      <w:pPr>
        <w:spacing w:line="360" w:lineRule="auto"/>
        <w:ind w:firstLine="640" w:firstLineChars="200"/>
        <w:rPr>
          <w:rFonts w:ascii="仿宋_GB2312" w:hAnsi="Calibri" w:eastAsia="仿宋_GB2312"/>
          <w:color w:val="auto"/>
          <w:sz w:val="32"/>
          <w:szCs w:val="20"/>
        </w:rPr>
      </w:pPr>
      <w:r>
        <w:rPr>
          <w:rFonts w:hint="eastAsia" w:ascii="仿宋_GB2312" w:hAnsi="Calibri" w:eastAsia="仿宋_GB2312"/>
          <w:color w:val="auto"/>
          <w:sz w:val="32"/>
          <w:szCs w:val="20"/>
        </w:rPr>
        <w:t>（三）除现场勘查时确定的零售点经营场所门口外的其它出入口。</w:t>
      </w:r>
    </w:p>
    <w:p>
      <w:pPr>
        <w:spacing w:line="360" w:lineRule="auto"/>
        <w:ind w:firstLine="640" w:firstLineChars="200"/>
        <w:rPr>
          <w:rFonts w:ascii="仿宋_GB2312" w:hAnsi="Calibri" w:eastAsia="仿宋_GB2312"/>
          <w:color w:val="auto"/>
          <w:sz w:val="32"/>
          <w:szCs w:val="20"/>
        </w:rPr>
      </w:pPr>
      <w:r>
        <w:rPr>
          <w:rFonts w:hint="eastAsia" w:ascii="黑体" w:hAnsi="黑体" w:eastAsia="黑体"/>
          <w:color w:val="auto"/>
          <w:sz w:val="32"/>
          <w:szCs w:val="20"/>
        </w:rPr>
        <w:t>第</w:t>
      </w:r>
      <w:r>
        <w:rPr>
          <w:rFonts w:hint="eastAsia" w:ascii="黑体" w:hAnsi="黑体" w:eastAsia="黑体"/>
          <w:b/>
          <w:color w:val="auto"/>
          <w:sz w:val="32"/>
          <w:szCs w:val="20"/>
        </w:rPr>
        <w:t>十</w:t>
      </w:r>
      <w:r>
        <w:rPr>
          <w:rFonts w:hint="eastAsia" w:ascii="黑体" w:hAnsi="黑体" w:eastAsia="黑体"/>
          <w:b/>
          <w:color w:val="auto"/>
          <w:sz w:val="32"/>
          <w:szCs w:val="20"/>
          <w:lang w:val="en-US" w:eastAsia="zh-CN"/>
        </w:rPr>
        <w:t>三</w:t>
      </w:r>
      <w:r>
        <w:rPr>
          <w:rFonts w:hint="eastAsia" w:ascii="黑体" w:hAnsi="黑体" w:eastAsia="黑体"/>
          <w:color w:val="auto"/>
          <w:sz w:val="32"/>
          <w:szCs w:val="20"/>
        </w:rPr>
        <w:t>条</w:t>
      </w:r>
      <w:r>
        <w:rPr>
          <w:rFonts w:hint="eastAsia" w:ascii="仿宋_GB2312" w:hAnsi="Calibri" w:eastAsia="仿宋_GB2312"/>
          <w:color w:val="auto"/>
          <w:sz w:val="32"/>
          <w:szCs w:val="20"/>
        </w:rPr>
        <w:t xml:space="preserve">  属于下列情形之一的，禁止设立零售点：</w:t>
      </w:r>
    </w:p>
    <w:p>
      <w:pPr>
        <w:spacing w:line="360" w:lineRule="auto"/>
        <w:ind w:firstLine="640" w:firstLineChars="200"/>
        <w:rPr>
          <w:rFonts w:hint="eastAsia" w:ascii="仿宋_GB2312" w:hAnsi="Calibri" w:eastAsia="仿宋_GB2312"/>
          <w:color w:val="auto"/>
          <w:sz w:val="32"/>
          <w:szCs w:val="20"/>
        </w:rPr>
      </w:pPr>
      <w:r>
        <w:rPr>
          <w:rFonts w:hint="eastAsia" w:ascii="仿宋_GB2312" w:hAnsi="Calibri" w:eastAsia="仿宋_GB2312"/>
          <w:color w:val="auto"/>
          <w:sz w:val="32"/>
          <w:szCs w:val="20"/>
        </w:rPr>
        <w:t>（一）中小学校、少年宫、幼儿园内及距其进出通道口100米以内的区域（该距离是指申请者拟从事烟草制品零售业务的经营场所进出通道口与中小学校、少年宫、幼儿园进出通道口之间的可通行最短距离</w:t>
      </w:r>
      <w:r>
        <w:rPr>
          <w:rFonts w:hint="eastAsia" w:ascii="仿宋_GB2312" w:hAnsi="Calibri" w:eastAsia="仿宋_GB2312"/>
          <w:color w:val="auto"/>
          <w:sz w:val="32"/>
          <w:szCs w:val="20"/>
          <w:lang w:eastAsia="zh-CN"/>
        </w:rPr>
        <w:t>，</w:t>
      </w:r>
      <w:r>
        <w:rPr>
          <w:rFonts w:hint="eastAsia" w:ascii="仿宋_GB2312" w:hAnsi="Calibri" w:eastAsia="仿宋_GB2312"/>
          <w:color w:val="auto"/>
          <w:sz w:val="32"/>
          <w:szCs w:val="20"/>
          <w:lang w:val="en-US" w:eastAsia="zh-CN"/>
        </w:rPr>
        <w:t>测量方式参照附件1</w:t>
      </w:r>
      <w:r>
        <w:rPr>
          <w:rFonts w:hint="eastAsia" w:ascii="仿宋_GB2312" w:hAnsi="Calibri" w:eastAsia="仿宋_GB2312"/>
          <w:color w:val="auto"/>
          <w:sz w:val="32"/>
          <w:szCs w:val="20"/>
        </w:rPr>
        <w:t>）；</w:t>
      </w:r>
    </w:p>
    <w:p>
      <w:pPr>
        <w:spacing w:line="360" w:lineRule="auto"/>
        <w:ind w:firstLine="640" w:firstLineChars="200"/>
        <w:rPr>
          <w:rFonts w:hint="eastAsia" w:ascii="仿宋_GB2312" w:hAnsi="Calibri" w:eastAsia="仿宋_GB2312"/>
          <w:color w:val="auto"/>
          <w:sz w:val="32"/>
          <w:szCs w:val="20"/>
          <w:lang w:val="en-US" w:eastAsia="zh-CN"/>
        </w:rPr>
      </w:pPr>
      <w:r>
        <w:rPr>
          <w:rFonts w:hint="eastAsia" w:ascii="仿宋_GB2312" w:hAnsi="Calibri" w:eastAsia="仿宋_GB2312"/>
          <w:color w:val="auto"/>
          <w:sz w:val="32"/>
          <w:szCs w:val="20"/>
          <w:lang w:val="en-US" w:eastAsia="zh-CN"/>
        </w:rPr>
        <w:t>(二）</w:t>
      </w:r>
      <w:r>
        <w:rPr>
          <w:rFonts w:hint="eastAsia" w:ascii="仿宋_GB2312" w:hAnsi="Verdana,ˎ̥" w:eastAsia="仿宋_GB2312" w:cs="宋体"/>
          <w:color w:val="auto"/>
          <w:kern w:val="0"/>
          <w:sz w:val="32"/>
          <w:szCs w:val="32"/>
        </w:rPr>
        <w:t>经营场所位于以未成年人为主要对象的培训机构场所内的，</w:t>
      </w:r>
      <w:r>
        <w:rPr>
          <w:rStyle w:val="13"/>
          <w:rFonts w:ascii="仿宋_GB2312" w:hAnsi="仿宋_GB2312" w:eastAsia="仿宋_GB2312"/>
          <w:color w:val="auto"/>
          <w:sz w:val="32"/>
          <w:szCs w:val="32"/>
          <w:lang w:val="zh-CN"/>
        </w:rPr>
        <w:t>已持有烟草专卖零售许可证的到期</w:t>
      </w:r>
      <w:r>
        <w:rPr>
          <w:rStyle w:val="13"/>
          <w:rFonts w:hint="eastAsia" w:ascii="仿宋_GB2312" w:hAnsi="仿宋_GB2312" w:eastAsia="仿宋_GB2312"/>
          <w:color w:val="auto"/>
          <w:sz w:val="32"/>
          <w:szCs w:val="32"/>
          <w:lang w:val="zh-CN"/>
        </w:rPr>
        <w:t>后</w:t>
      </w:r>
      <w:r>
        <w:rPr>
          <w:rStyle w:val="13"/>
          <w:rFonts w:ascii="仿宋_GB2312" w:hAnsi="仿宋_GB2312" w:eastAsia="仿宋_GB2312"/>
          <w:color w:val="auto"/>
          <w:sz w:val="32"/>
          <w:szCs w:val="32"/>
          <w:lang w:val="zh-CN"/>
        </w:rPr>
        <w:t>不予延续</w:t>
      </w:r>
      <w:r>
        <w:rPr>
          <w:rStyle w:val="13"/>
          <w:rFonts w:ascii="仿宋_GB2312" w:hAnsi="仿宋_GB2312" w:eastAsia="仿宋_GB2312"/>
          <w:color w:val="auto"/>
          <w:sz w:val="32"/>
          <w:lang w:val="zh-CN"/>
        </w:rPr>
        <w:t>；</w:t>
      </w:r>
    </w:p>
    <w:p>
      <w:pPr>
        <w:spacing w:line="360" w:lineRule="auto"/>
        <w:ind w:firstLine="627" w:firstLineChars="196"/>
        <w:rPr>
          <w:rFonts w:ascii="仿宋_GB2312" w:hAnsi="Calibri" w:eastAsia="仿宋_GB2312"/>
          <w:color w:val="auto"/>
          <w:sz w:val="32"/>
          <w:szCs w:val="20"/>
        </w:rPr>
      </w:pPr>
      <w:r>
        <w:rPr>
          <w:rFonts w:hint="eastAsia" w:ascii="仿宋_GB2312" w:hAnsi="Calibri" w:eastAsia="仿宋_GB2312"/>
          <w:color w:val="auto"/>
          <w:sz w:val="32"/>
          <w:szCs w:val="20"/>
        </w:rPr>
        <w:t>（</w:t>
      </w:r>
      <w:r>
        <w:rPr>
          <w:rFonts w:hint="eastAsia" w:ascii="仿宋_GB2312" w:hAnsi="Calibri" w:eastAsia="仿宋_GB2312"/>
          <w:color w:val="auto"/>
          <w:sz w:val="32"/>
          <w:szCs w:val="20"/>
          <w:lang w:eastAsia="zh-CN"/>
        </w:rPr>
        <w:t>三</w:t>
      </w:r>
      <w:r>
        <w:rPr>
          <w:rFonts w:hint="eastAsia" w:ascii="仿宋_GB2312" w:hAnsi="Calibri" w:eastAsia="仿宋_GB2312"/>
          <w:color w:val="auto"/>
          <w:sz w:val="32"/>
          <w:szCs w:val="20"/>
        </w:rPr>
        <w:t>）生产经营有毒、有害、易燃、易爆物品等基于安全因素不适宜经营卷烟的场所；</w:t>
      </w:r>
    </w:p>
    <w:p>
      <w:pPr>
        <w:spacing w:line="360" w:lineRule="auto"/>
        <w:ind w:firstLine="627" w:firstLineChars="196"/>
        <w:rPr>
          <w:rFonts w:hint="eastAsia" w:ascii="仿宋_GB2312" w:hAnsi="Calibri" w:eastAsia="仿宋_GB2312"/>
          <w:color w:val="auto"/>
          <w:sz w:val="32"/>
          <w:szCs w:val="20"/>
        </w:rPr>
      </w:pPr>
      <w:r>
        <w:rPr>
          <w:rFonts w:hint="eastAsia" w:ascii="仿宋_GB2312" w:hAnsi="Calibri" w:eastAsia="仿宋_GB2312"/>
          <w:color w:val="auto"/>
          <w:sz w:val="32"/>
          <w:szCs w:val="20"/>
        </w:rPr>
        <w:t>（</w:t>
      </w:r>
      <w:r>
        <w:rPr>
          <w:rFonts w:hint="eastAsia" w:ascii="仿宋_GB2312" w:hAnsi="Calibri" w:eastAsia="仿宋_GB2312"/>
          <w:color w:val="auto"/>
          <w:sz w:val="32"/>
          <w:szCs w:val="20"/>
          <w:lang w:eastAsia="zh-CN"/>
        </w:rPr>
        <w:t>四</w:t>
      </w:r>
      <w:r>
        <w:rPr>
          <w:rFonts w:hint="eastAsia" w:ascii="仿宋_GB2312" w:hAnsi="Calibri" w:eastAsia="仿宋_GB2312"/>
          <w:color w:val="auto"/>
          <w:sz w:val="32"/>
          <w:szCs w:val="20"/>
        </w:rPr>
        <w:t>）</w:t>
      </w:r>
      <w:r>
        <w:rPr>
          <w:rFonts w:hint="eastAsia" w:ascii="仿宋_GB2312" w:hAnsi="Calibri" w:eastAsia="仿宋_GB2312"/>
          <w:color w:val="auto"/>
          <w:sz w:val="32"/>
          <w:szCs w:val="20"/>
          <w:highlight w:val="none"/>
          <w:lang w:val="en-US" w:eastAsia="zh-CN"/>
        </w:rPr>
        <w:t>流动摊点等无固定经营场所的及没有与住所相独立固定场所的</w:t>
      </w:r>
      <w:r>
        <w:rPr>
          <w:rFonts w:hint="eastAsia" w:ascii="仿宋_GB2312" w:hAnsi="Calibri" w:eastAsia="仿宋_GB2312"/>
          <w:color w:val="auto"/>
          <w:sz w:val="32"/>
          <w:szCs w:val="20"/>
        </w:rPr>
        <w:t>；</w:t>
      </w:r>
    </w:p>
    <w:p>
      <w:pPr>
        <w:spacing w:line="360" w:lineRule="auto"/>
        <w:ind w:firstLine="627" w:firstLineChars="196"/>
        <w:rPr>
          <w:rFonts w:hint="default" w:ascii="仿宋_GB2312" w:hAnsi="Calibri" w:eastAsia="仿宋_GB2312"/>
          <w:color w:val="auto"/>
          <w:sz w:val="32"/>
          <w:szCs w:val="20"/>
          <w:lang w:val="en-US" w:eastAsia="zh-CN"/>
        </w:rPr>
      </w:pPr>
      <w:r>
        <w:rPr>
          <w:rFonts w:hint="eastAsia" w:ascii="仿宋_GB2312" w:hAnsi="Calibri" w:eastAsia="仿宋_GB2312"/>
          <w:color w:val="auto"/>
          <w:sz w:val="32"/>
          <w:szCs w:val="20"/>
          <w:lang w:eastAsia="zh-CN"/>
        </w:rPr>
        <w:t>（</w:t>
      </w:r>
      <w:r>
        <w:rPr>
          <w:rFonts w:hint="eastAsia" w:ascii="仿宋_GB2312" w:hAnsi="Calibri" w:eastAsia="仿宋_GB2312"/>
          <w:color w:val="auto"/>
          <w:sz w:val="32"/>
          <w:szCs w:val="20"/>
          <w:lang w:val="en-US" w:eastAsia="zh-CN"/>
        </w:rPr>
        <w:t>五）许可证数量超出零售点合理容量的市场单元内；</w:t>
      </w:r>
    </w:p>
    <w:p>
      <w:pPr>
        <w:spacing w:line="360" w:lineRule="auto"/>
        <w:ind w:firstLine="627" w:firstLineChars="196"/>
        <w:rPr>
          <w:rFonts w:hint="eastAsia" w:ascii="仿宋_GB2312" w:hAnsi="Calibri" w:eastAsia="仿宋_GB2312"/>
          <w:color w:val="auto"/>
          <w:sz w:val="32"/>
          <w:szCs w:val="20"/>
        </w:rPr>
      </w:pPr>
      <w:r>
        <w:rPr>
          <w:rFonts w:hint="eastAsia" w:ascii="仿宋_GB2312" w:hAnsi="Calibri" w:eastAsia="仿宋_GB2312"/>
          <w:color w:val="auto"/>
          <w:sz w:val="32"/>
          <w:szCs w:val="20"/>
        </w:rPr>
        <w:t>（</w:t>
      </w:r>
      <w:r>
        <w:rPr>
          <w:rFonts w:hint="eastAsia" w:ascii="仿宋_GB2312" w:hAnsi="Calibri" w:eastAsia="仿宋_GB2312"/>
          <w:color w:val="auto"/>
          <w:sz w:val="32"/>
          <w:szCs w:val="20"/>
          <w:lang w:val="en-US" w:eastAsia="zh-CN"/>
        </w:rPr>
        <w:t>六</w:t>
      </w:r>
      <w:r>
        <w:rPr>
          <w:rFonts w:hint="eastAsia" w:ascii="仿宋_GB2312" w:hAnsi="Calibri" w:eastAsia="仿宋_GB2312"/>
          <w:color w:val="auto"/>
          <w:sz w:val="32"/>
          <w:szCs w:val="20"/>
        </w:rPr>
        <w:t>）利用自动售货机、通过信息网络销售烟草制品的；</w:t>
      </w:r>
    </w:p>
    <w:p>
      <w:pPr>
        <w:spacing w:line="360" w:lineRule="auto"/>
        <w:ind w:firstLine="627" w:firstLineChars="196"/>
        <w:rPr>
          <w:rFonts w:hint="eastAsia" w:ascii="仿宋_GB2312" w:hAnsi="仿宋" w:eastAsia="仿宋_GB2312"/>
          <w:b w:val="0"/>
          <w:bCs w:val="0"/>
          <w:color w:val="auto"/>
          <w:sz w:val="32"/>
          <w:szCs w:val="32"/>
          <w:lang w:val="en-US" w:eastAsia="zh-CN"/>
        </w:rPr>
      </w:pPr>
      <w:r>
        <w:rPr>
          <w:rFonts w:hint="eastAsia" w:ascii="仿宋_GB2312" w:hAnsi="Calibri" w:eastAsia="仿宋_GB2312"/>
          <w:b w:val="0"/>
          <w:bCs w:val="0"/>
          <w:color w:val="auto"/>
          <w:sz w:val="32"/>
          <w:szCs w:val="20"/>
          <w:lang w:eastAsia="zh-CN"/>
        </w:rPr>
        <w:t>（</w:t>
      </w:r>
      <w:r>
        <w:rPr>
          <w:rFonts w:hint="eastAsia" w:ascii="仿宋_GB2312" w:hAnsi="Calibri" w:eastAsia="仿宋_GB2312"/>
          <w:b w:val="0"/>
          <w:bCs w:val="0"/>
          <w:color w:val="auto"/>
          <w:sz w:val="32"/>
          <w:szCs w:val="20"/>
          <w:lang w:val="en-US" w:eastAsia="zh-CN"/>
        </w:rPr>
        <w:t>七</w:t>
      </w:r>
      <w:r>
        <w:rPr>
          <w:rFonts w:hint="eastAsia" w:ascii="仿宋_GB2312" w:hAnsi="Calibri" w:eastAsia="仿宋_GB2312"/>
          <w:b w:val="0"/>
          <w:bCs w:val="0"/>
          <w:color w:val="auto"/>
          <w:sz w:val="32"/>
          <w:szCs w:val="20"/>
          <w:lang w:eastAsia="zh-CN"/>
        </w:rPr>
        <w:t>）</w:t>
      </w:r>
      <w:r>
        <w:rPr>
          <w:rFonts w:hint="eastAsia" w:ascii="仿宋_GB2312" w:hAnsi="仿宋" w:eastAsia="仿宋_GB2312"/>
          <w:b w:val="0"/>
          <w:bCs w:val="0"/>
          <w:color w:val="auto"/>
          <w:sz w:val="32"/>
          <w:szCs w:val="32"/>
        </w:rPr>
        <w:t>主营业务为学生用品、文化体育、</w:t>
      </w:r>
      <w:r>
        <w:rPr>
          <w:rFonts w:hint="eastAsia" w:ascii="仿宋_GB2312" w:hAnsi="仿宋" w:eastAsia="仿宋_GB2312"/>
          <w:b w:val="0"/>
          <w:bCs w:val="0"/>
          <w:color w:val="auto"/>
          <w:sz w:val="32"/>
          <w:szCs w:val="32"/>
          <w:lang w:val="en-US" w:eastAsia="zh-CN"/>
        </w:rPr>
        <w:t>彩票、</w:t>
      </w:r>
      <w:r>
        <w:rPr>
          <w:rFonts w:hint="eastAsia" w:ascii="仿宋_GB2312" w:hAnsi="仿宋" w:eastAsia="仿宋_GB2312"/>
          <w:b w:val="0"/>
          <w:bCs w:val="0"/>
          <w:color w:val="auto"/>
          <w:sz w:val="32"/>
          <w:szCs w:val="32"/>
        </w:rPr>
        <w:t>网吧游戏、传真打印、美容美发、按摩推拿、化妆洗涤、药妆医械、足疗保健、五金建材、装修装饰、家电家具、床上用品、电子音像、服饰鞋帽、金银珠宝、汽车销售、汽车服务、修理修配、寄递配送、中介劳服、寄卖典当、金融证券、仪器仪表、通讯器材、农具农资、农畜养殖、粮油米面、水产肉食、照相馆、宠物店、渔具店、棋牌室、旅行社、小吃店、</w:t>
      </w:r>
      <w:r>
        <w:rPr>
          <w:rFonts w:hint="eastAsia" w:ascii="仿宋_GB2312" w:hAnsi="仿宋" w:eastAsia="仿宋_GB2312"/>
          <w:b w:val="0"/>
          <w:bCs w:val="0"/>
          <w:color w:val="auto"/>
          <w:sz w:val="32"/>
          <w:szCs w:val="32"/>
          <w:lang w:val="en-US" w:eastAsia="zh-CN"/>
        </w:rPr>
        <w:t>小餐馆、</w:t>
      </w:r>
      <w:r>
        <w:rPr>
          <w:rFonts w:hint="eastAsia" w:ascii="仿宋_GB2312" w:hAnsi="仿宋" w:eastAsia="仿宋_GB2312"/>
          <w:b w:val="0"/>
          <w:bCs w:val="0"/>
          <w:color w:val="auto"/>
          <w:sz w:val="32"/>
          <w:szCs w:val="32"/>
        </w:rPr>
        <w:t>蛋糕店、水果店、奶吧</w:t>
      </w:r>
      <w:r>
        <w:rPr>
          <w:rFonts w:hint="eastAsia" w:ascii="仿宋_GB2312" w:hAnsi="仿宋" w:eastAsia="仿宋_GB2312"/>
          <w:b w:val="0"/>
          <w:bCs w:val="0"/>
          <w:color w:val="auto"/>
          <w:sz w:val="32"/>
          <w:szCs w:val="32"/>
          <w:lang w:val="en-US" w:eastAsia="zh-CN"/>
        </w:rPr>
        <w:t>等与烟草制品零售业务没有直接或者间接互补营销关系的业态类型；</w:t>
      </w:r>
    </w:p>
    <w:p>
      <w:pPr>
        <w:spacing w:line="360" w:lineRule="auto"/>
        <w:ind w:firstLine="640" w:firstLineChars="200"/>
        <w:rPr>
          <w:rFonts w:ascii="仿宋_GB2312" w:hAnsi="Calibri" w:eastAsia="仿宋_GB2312"/>
          <w:color w:val="auto"/>
          <w:sz w:val="32"/>
          <w:szCs w:val="20"/>
        </w:rPr>
      </w:pPr>
      <w:r>
        <w:rPr>
          <w:rFonts w:hint="eastAsia" w:ascii="仿宋_GB2312" w:hAnsi="Calibri" w:eastAsia="仿宋_GB2312"/>
          <w:color w:val="auto"/>
          <w:sz w:val="32"/>
          <w:szCs w:val="20"/>
        </w:rPr>
        <w:t>（</w:t>
      </w:r>
      <w:r>
        <w:rPr>
          <w:rFonts w:hint="eastAsia" w:ascii="仿宋_GB2312" w:hAnsi="Calibri" w:eastAsia="仿宋_GB2312"/>
          <w:color w:val="auto"/>
          <w:sz w:val="32"/>
          <w:szCs w:val="20"/>
          <w:lang w:val="en-US" w:eastAsia="zh-CN"/>
        </w:rPr>
        <w:t>八</w:t>
      </w:r>
      <w:r>
        <w:rPr>
          <w:rFonts w:hint="eastAsia" w:ascii="仿宋_GB2312" w:hAnsi="Calibri" w:eastAsia="仿宋_GB2312"/>
          <w:color w:val="auto"/>
          <w:sz w:val="32"/>
          <w:szCs w:val="20"/>
        </w:rPr>
        <w:t>）取消从事烟草专卖业务资格不满三年的；</w:t>
      </w:r>
    </w:p>
    <w:p>
      <w:pPr>
        <w:spacing w:line="360" w:lineRule="auto"/>
        <w:ind w:firstLine="627" w:firstLineChars="196"/>
        <w:rPr>
          <w:rFonts w:ascii="仿宋_GB2312" w:hAnsi="Calibri" w:eastAsia="仿宋_GB2312"/>
          <w:color w:val="auto"/>
          <w:sz w:val="32"/>
          <w:szCs w:val="20"/>
        </w:rPr>
      </w:pPr>
      <w:r>
        <w:rPr>
          <w:rFonts w:hint="eastAsia" w:ascii="仿宋_GB2312" w:hAnsi="Calibri" w:eastAsia="仿宋_GB2312"/>
          <w:color w:val="auto"/>
          <w:sz w:val="32"/>
          <w:szCs w:val="20"/>
        </w:rPr>
        <w:t>（</w:t>
      </w:r>
      <w:r>
        <w:rPr>
          <w:rFonts w:hint="eastAsia" w:ascii="仿宋_GB2312" w:hAnsi="Calibri" w:eastAsia="仿宋_GB2312"/>
          <w:color w:val="auto"/>
          <w:sz w:val="32"/>
          <w:szCs w:val="20"/>
          <w:lang w:val="en-US" w:eastAsia="zh-CN"/>
        </w:rPr>
        <w:t>九</w:t>
      </w:r>
      <w:r>
        <w:rPr>
          <w:rFonts w:hint="eastAsia" w:ascii="仿宋_GB2312" w:hAnsi="Calibri" w:eastAsia="仿宋_GB2312"/>
          <w:color w:val="auto"/>
          <w:sz w:val="32"/>
          <w:szCs w:val="20"/>
        </w:rPr>
        <w:t>）因申请人隐瞒有关情况或者提供虚假材料，烟草专卖局作出不予受理或者不予发证决定后，申请人一年内再次提出申请的；</w:t>
      </w:r>
    </w:p>
    <w:p>
      <w:pPr>
        <w:spacing w:line="360" w:lineRule="auto"/>
        <w:ind w:firstLine="627" w:firstLineChars="196"/>
        <w:rPr>
          <w:rFonts w:ascii="仿宋_GB2312" w:hAnsi="Calibri" w:eastAsia="仿宋_GB2312"/>
          <w:color w:val="auto"/>
          <w:sz w:val="32"/>
          <w:szCs w:val="20"/>
        </w:rPr>
      </w:pPr>
      <w:r>
        <w:rPr>
          <w:rFonts w:hint="eastAsia" w:ascii="仿宋_GB2312" w:hAnsi="Calibri" w:eastAsia="仿宋_GB2312"/>
          <w:color w:val="auto"/>
          <w:sz w:val="32"/>
          <w:szCs w:val="20"/>
        </w:rPr>
        <w:t>（</w:t>
      </w:r>
      <w:r>
        <w:rPr>
          <w:rFonts w:hint="eastAsia" w:ascii="仿宋_GB2312" w:hAnsi="Calibri" w:eastAsia="仿宋_GB2312"/>
          <w:color w:val="auto"/>
          <w:sz w:val="32"/>
          <w:szCs w:val="20"/>
          <w:lang w:val="en-US" w:eastAsia="zh-CN"/>
        </w:rPr>
        <w:t>十</w:t>
      </w:r>
      <w:r>
        <w:rPr>
          <w:rFonts w:hint="eastAsia" w:ascii="仿宋_GB2312" w:hAnsi="Calibri" w:eastAsia="仿宋_GB2312"/>
          <w:color w:val="auto"/>
          <w:sz w:val="32"/>
          <w:szCs w:val="20"/>
        </w:rPr>
        <w:t>）因申请人以欺骗、贿赂等不正当手段取得的烟草专卖零售许可证被撤销后，申请人三年内再次提出申请的；</w:t>
      </w:r>
    </w:p>
    <w:p>
      <w:pPr>
        <w:spacing w:line="360" w:lineRule="auto"/>
        <w:ind w:firstLine="627" w:firstLineChars="196"/>
        <w:rPr>
          <w:rFonts w:ascii="仿宋_GB2312" w:hAnsi="Calibri" w:eastAsia="仿宋_GB2312"/>
          <w:color w:val="auto"/>
          <w:sz w:val="32"/>
          <w:szCs w:val="20"/>
        </w:rPr>
      </w:pPr>
      <w:r>
        <w:rPr>
          <w:rFonts w:hint="eastAsia" w:ascii="仿宋_GB2312" w:hAnsi="Calibri" w:eastAsia="仿宋_GB2312"/>
          <w:color w:val="auto"/>
          <w:sz w:val="32"/>
          <w:szCs w:val="20"/>
        </w:rPr>
        <w:t>（</w:t>
      </w:r>
      <w:r>
        <w:rPr>
          <w:rFonts w:hint="eastAsia" w:ascii="仿宋_GB2312" w:hAnsi="Calibri" w:eastAsia="仿宋_GB2312"/>
          <w:color w:val="auto"/>
          <w:sz w:val="32"/>
          <w:szCs w:val="20"/>
          <w:lang w:val="en-US" w:eastAsia="zh-CN"/>
        </w:rPr>
        <w:t>十一</w:t>
      </w:r>
      <w:r>
        <w:rPr>
          <w:rFonts w:hint="eastAsia" w:ascii="仿宋_GB2312" w:hAnsi="Calibri" w:eastAsia="仿宋_GB2312"/>
          <w:color w:val="auto"/>
          <w:sz w:val="32"/>
          <w:szCs w:val="20"/>
        </w:rPr>
        <w:t>）因未领取烟草专卖零售许可证经营烟草专卖品业务，一年内被执法机关处罚两次以上，在三年内申请领取烟草专卖零售许可证的；</w:t>
      </w:r>
    </w:p>
    <w:p>
      <w:pPr>
        <w:spacing w:line="360" w:lineRule="auto"/>
        <w:ind w:firstLine="627" w:firstLineChars="196"/>
        <w:rPr>
          <w:rFonts w:ascii="仿宋_GB2312" w:hAnsi="Calibri" w:eastAsia="仿宋_GB2312"/>
          <w:b w:val="0"/>
          <w:bCs w:val="0"/>
          <w:color w:val="auto"/>
          <w:sz w:val="32"/>
          <w:szCs w:val="20"/>
        </w:rPr>
      </w:pPr>
      <w:r>
        <w:rPr>
          <w:rFonts w:hint="eastAsia" w:ascii="仿宋_GB2312" w:hAnsi="Calibri" w:eastAsia="仿宋_GB2312"/>
          <w:b w:val="0"/>
          <w:bCs w:val="0"/>
          <w:color w:val="auto"/>
          <w:sz w:val="32"/>
          <w:szCs w:val="20"/>
        </w:rPr>
        <w:t>（</w:t>
      </w:r>
      <w:r>
        <w:rPr>
          <w:rFonts w:hint="eastAsia" w:ascii="仿宋_GB2312" w:hAnsi="Calibri" w:eastAsia="仿宋_GB2312"/>
          <w:b w:val="0"/>
          <w:bCs w:val="0"/>
          <w:color w:val="auto"/>
          <w:sz w:val="32"/>
          <w:szCs w:val="20"/>
          <w:lang w:val="en-US" w:eastAsia="zh-CN"/>
        </w:rPr>
        <w:t>十二</w:t>
      </w:r>
      <w:r>
        <w:rPr>
          <w:rFonts w:hint="eastAsia" w:ascii="仿宋_GB2312" w:hAnsi="Calibri" w:eastAsia="仿宋_GB2312"/>
          <w:b w:val="0"/>
          <w:bCs w:val="0"/>
          <w:color w:val="auto"/>
          <w:sz w:val="32"/>
          <w:szCs w:val="20"/>
        </w:rPr>
        <w:t>）</w:t>
      </w:r>
      <w:r>
        <w:rPr>
          <w:rFonts w:hint="eastAsia" w:ascii="仿宋_GB2312" w:hAnsi="Calibri" w:eastAsia="仿宋_GB2312"/>
          <w:b w:val="0"/>
          <w:bCs w:val="0"/>
          <w:color w:val="auto"/>
          <w:sz w:val="32"/>
          <w:szCs w:val="20"/>
          <w:lang w:val="en-US" w:eastAsia="zh-CN"/>
        </w:rPr>
        <w:t>政府明令禁止经营烟草制品的区域，如</w:t>
      </w:r>
      <w:r>
        <w:rPr>
          <w:rFonts w:hint="eastAsia" w:ascii="仿宋_GB2312" w:hAnsi="Calibri" w:eastAsia="仿宋_GB2312"/>
          <w:b w:val="0"/>
          <w:bCs w:val="0"/>
          <w:color w:val="auto"/>
          <w:sz w:val="32"/>
          <w:szCs w:val="20"/>
        </w:rPr>
        <w:t>各级党政机关</w:t>
      </w:r>
      <w:r>
        <w:rPr>
          <w:rFonts w:hint="eastAsia" w:ascii="仿宋_GB2312" w:hAnsi="Calibri" w:eastAsia="仿宋_GB2312"/>
          <w:b w:val="0"/>
          <w:bCs w:val="0"/>
          <w:color w:val="auto"/>
          <w:sz w:val="32"/>
          <w:szCs w:val="20"/>
          <w:lang w:val="en-US" w:eastAsia="zh-CN"/>
        </w:rPr>
        <w:t>内部、医疗卫生机构内部</w:t>
      </w:r>
      <w:r>
        <w:rPr>
          <w:rFonts w:hint="eastAsia" w:ascii="仿宋_GB2312" w:hAnsi="Calibri" w:eastAsia="仿宋_GB2312"/>
          <w:b w:val="0"/>
          <w:bCs w:val="0"/>
          <w:color w:val="auto"/>
          <w:sz w:val="32"/>
          <w:szCs w:val="20"/>
        </w:rPr>
        <w:t>；</w:t>
      </w:r>
    </w:p>
    <w:p>
      <w:pPr>
        <w:spacing w:line="360" w:lineRule="auto"/>
        <w:ind w:firstLine="627" w:firstLineChars="196"/>
        <w:rPr>
          <w:rFonts w:ascii="仿宋_GB2312" w:hAnsi="Calibri" w:eastAsia="仿宋_GB2312"/>
          <w:color w:val="auto"/>
          <w:sz w:val="32"/>
          <w:szCs w:val="20"/>
        </w:rPr>
      </w:pPr>
      <w:r>
        <w:rPr>
          <w:rFonts w:hint="eastAsia" w:ascii="仿宋_GB2312" w:hAnsi="Calibri" w:eastAsia="仿宋_GB2312"/>
          <w:color w:val="auto"/>
          <w:sz w:val="32"/>
          <w:szCs w:val="20"/>
        </w:rPr>
        <w:t>（十</w:t>
      </w:r>
      <w:r>
        <w:rPr>
          <w:rFonts w:hint="eastAsia" w:ascii="仿宋_GB2312" w:hAnsi="Calibri" w:eastAsia="仿宋_GB2312"/>
          <w:color w:val="auto"/>
          <w:sz w:val="32"/>
          <w:szCs w:val="20"/>
          <w:lang w:val="en-US" w:eastAsia="zh-CN"/>
        </w:rPr>
        <w:t>三</w:t>
      </w:r>
      <w:r>
        <w:rPr>
          <w:rFonts w:hint="eastAsia" w:ascii="仿宋_GB2312" w:hAnsi="Calibri" w:eastAsia="仿宋_GB2312"/>
          <w:color w:val="auto"/>
          <w:sz w:val="32"/>
          <w:szCs w:val="20"/>
        </w:rPr>
        <w:t>）经营场所已</w:t>
      </w:r>
      <w:r>
        <w:rPr>
          <w:rFonts w:hint="eastAsia" w:ascii="仿宋_GB2312" w:hAnsi="Calibri" w:eastAsia="仿宋_GB2312"/>
          <w:color w:val="auto"/>
          <w:sz w:val="32"/>
          <w:szCs w:val="20"/>
          <w:lang w:val="en-US" w:eastAsia="zh-CN"/>
        </w:rPr>
        <w:t>正式公布为</w:t>
      </w:r>
      <w:r>
        <w:rPr>
          <w:rFonts w:hint="eastAsia" w:ascii="仿宋_GB2312" w:hAnsi="Calibri" w:eastAsia="仿宋_GB2312"/>
          <w:color w:val="auto"/>
          <w:sz w:val="32"/>
          <w:szCs w:val="20"/>
        </w:rPr>
        <w:t>政府拆迁规划的区域；</w:t>
      </w:r>
    </w:p>
    <w:p>
      <w:pPr>
        <w:spacing w:line="360" w:lineRule="auto"/>
        <w:ind w:firstLine="627" w:firstLineChars="196"/>
        <w:rPr>
          <w:rFonts w:ascii="仿宋_GB2312" w:hAnsi="Calibri" w:eastAsia="仿宋_GB2312"/>
          <w:color w:val="auto"/>
          <w:sz w:val="32"/>
          <w:szCs w:val="20"/>
        </w:rPr>
      </w:pPr>
      <w:r>
        <w:rPr>
          <w:rFonts w:hint="eastAsia" w:ascii="仿宋_GB2312" w:hAnsi="Calibri" w:eastAsia="仿宋_GB2312"/>
          <w:color w:val="auto"/>
          <w:sz w:val="32"/>
          <w:szCs w:val="20"/>
        </w:rPr>
        <w:t>（十</w:t>
      </w:r>
      <w:r>
        <w:rPr>
          <w:rFonts w:hint="eastAsia" w:ascii="仿宋_GB2312" w:hAnsi="Calibri" w:eastAsia="仿宋_GB2312"/>
          <w:color w:val="auto"/>
          <w:sz w:val="32"/>
          <w:szCs w:val="20"/>
          <w:lang w:val="en-US" w:eastAsia="zh-CN"/>
        </w:rPr>
        <w:t>四</w:t>
      </w:r>
      <w:r>
        <w:rPr>
          <w:rFonts w:hint="eastAsia" w:ascii="仿宋_GB2312" w:hAnsi="Calibri" w:eastAsia="仿宋_GB2312"/>
          <w:color w:val="auto"/>
          <w:sz w:val="32"/>
          <w:szCs w:val="20"/>
        </w:rPr>
        <w:t>）外商投资的商业企业、个体工商户申请领取烟草专卖零售许可证的或以特许、吸纳加盟店及其他再投资等形式申请从事烟草制品零售经营的；</w:t>
      </w:r>
    </w:p>
    <w:p>
      <w:pPr>
        <w:spacing w:line="360" w:lineRule="auto"/>
        <w:ind w:firstLine="640" w:firstLineChars="200"/>
        <w:rPr>
          <w:rFonts w:ascii="仿宋_GB2312" w:hAnsi="Calibri" w:eastAsia="仿宋_GB2312"/>
          <w:color w:val="auto"/>
          <w:sz w:val="32"/>
          <w:szCs w:val="20"/>
        </w:rPr>
      </w:pPr>
      <w:r>
        <w:rPr>
          <w:rFonts w:hint="eastAsia" w:ascii="仿宋_GB2312" w:hAnsi="Calibri" w:eastAsia="仿宋_GB2312"/>
          <w:color w:val="auto"/>
          <w:sz w:val="32"/>
          <w:szCs w:val="20"/>
        </w:rPr>
        <w:t>（十</w:t>
      </w:r>
      <w:r>
        <w:rPr>
          <w:rFonts w:hint="eastAsia" w:ascii="仿宋_GB2312" w:hAnsi="Calibri" w:eastAsia="仿宋_GB2312"/>
          <w:color w:val="auto"/>
          <w:sz w:val="32"/>
          <w:szCs w:val="20"/>
          <w:lang w:val="en-US" w:eastAsia="zh-CN"/>
        </w:rPr>
        <w:t>五</w:t>
      </w:r>
      <w:r>
        <w:rPr>
          <w:rFonts w:hint="eastAsia" w:ascii="仿宋_GB2312" w:hAnsi="Calibri" w:eastAsia="仿宋_GB2312"/>
          <w:color w:val="auto"/>
          <w:sz w:val="32"/>
          <w:szCs w:val="20"/>
        </w:rPr>
        <w:t>）居民住宅小区内除一层全开放式门店外，其他非公共、开放区域的；</w:t>
      </w:r>
    </w:p>
    <w:p>
      <w:pPr>
        <w:spacing w:line="360" w:lineRule="auto"/>
        <w:ind w:firstLine="640" w:firstLineChars="200"/>
        <w:rPr>
          <w:rFonts w:ascii="仿宋_GB2312" w:hAnsi="Calibri" w:eastAsia="仿宋_GB2312"/>
          <w:color w:val="auto"/>
          <w:sz w:val="32"/>
          <w:szCs w:val="20"/>
        </w:rPr>
      </w:pPr>
      <w:r>
        <w:rPr>
          <w:rFonts w:hint="eastAsia" w:ascii="仿宋_GB2312" w:hAnsi="Calibri" w:eastAsia="仿宋_GB2312"/>
          <w:color w:val="auto"/>
          <w:sz w:val="32"/>
          <w:szCs w:val="20"/>
        </w:rPr>
        <w:t>（十</w:t>
      </w:r>
      <w:r>
        <w:rPr>
          <w:rFonts w:hint="eastAsia" w:ascii="仿宋_GB2312" w:hAnsi="Calibri" w:eastAsia="仿宋_GB2312"/>
          <w:color w:val="auto"/>
          <w:sz w:val="32"/>
          <w:szCs w:val="20"/>
          <w:lang w:val="en-US" w:eastAsia="zh-CN"/>
        </w:rPr>
        <w:t>六</w:t>
      </w:r>
      <w:r>
        <w:rPr>
          <w:rFonts w:hint="eastAsia" w:ascii="仿宋_GB2312" w:hAnsi="Calibri" w:eastAsia="仿宋_GB2312"/>
          <w:color w:val="auto"/>
          <w:sz w:val="32"/>
          <w:szCs w:val="20"/>
        </w:rPr>
        <w:t>）法律、法规、规章及国家烟草专卖局规定的其他不予发证的情形。</w:t>
      </w:r>
    </w:p>
    <w:p>
      <w:pPr>
        <w:spacing w:line="360" w:lineRule="auto"/>
        <w:ind w:firstLine="643" w:firstLineChars="200"/>
        <w:rPr>
          <w:rFonts w:ascii="仿宋_GB2312" w:hAnsi="Calibri" w:eastAsia="仿宋_GB2312"/>
          <w:color w:val="auto"/>
          <w:sz w:val="32"/>
          <w:szCs w:val="20"/>
        </w:rPr>
      </w:pPr>
      <w:r>
        <w:rPr>
          <w:rFonts w:hint="eastAsia" w:ascii="黑体" w:hAnsi="黑体" w:eastAsia="黑体"/>
          <w:b/>
          <w:color w:val="auto"/>
          <w:sz w:val="32"/>
          <w:szCs w:val="20"/>
        </w:rPr>
        <w:t>第十</w:t>
      </w:r>
      <w:r>
        <w:rPr>
          <w:rFonts w:hint="eastAsia" w:ascii="黑体" w:hAnsi="黑体" w:eastAsia="黑体"/>
          <w:b/>
          <w:color w:val="auto"/>
          <w:sz w:val="32"/>
          <w:szCs w:val="20"/>
          <w:lang w:val="en-US" w:eastAsia="zh-CN"/>
        </w:rPr>
        <w:t>四</w:t>
      </w:r>
      <w:r>
        <w:rPr>
          <w:rFonts w:hint="eastAsia" w:ascii="黑体" w:hAnsi="黑体" w:eastAsia="黑体"/>
          <w:b/>
          <w:color w:val="auto"/>
          <w:sz w:val="32"/>
          <w:szCs w:val="20"/>
        </w:rPr>
        <w:t>条</w:t>
      </w:r>
      <w:r>
        <w:rPr>
          <w:rFonts w:hint="eastAsia" w:ascii="仿宋_GB2312" w:hAnsi="Calibri" w:eastAsia="仿宋_GB2312"/>
          <w:color w:val="FF0000"/>
          <w:sz w:val="32"/>
          <w:szCs w:val="20"/>
        </w:rPr>
        <w:t xml:space="preserve">  </w:t>
      </w:r>
      <w:r>
        <w:rPr>
          <w:rFonts w:hint="eastAsia" w:ascii="仿宋_GB2312" w:hAnsi="Calibri" w:eastAsia="仿宋_GB2312"/>
          <w:color w:val="auto"/>
          <w:sz w:val="32"/>
          <w:szCs w:val="20"/>
        </w:rPr>
        <w:t>中小学、少年宫、幼儿园周边已取得烟草专卖零售许可证的单位或者个人，不符合本规定第十</w:t>
      </w:r>
      <w:r>
        <w:rPr>
          <w:rFonts w:hint="eastAsia" w:ascii="仿宋_GB2312" w:hAnsi="Calibri" w:eastAsia="仿宋_GB2312"/>
          <w:color w:val="auto"/>
          <w:sz w:val="32"/>
          <w:szCs w:val="20"/>
          <w:lang w:val="en-US" w:eastAsia="zh-CN"/>
        </w:rPr>
        <w:t>三</w:t>
      </w:r>
      <w:r>
        <w:rPr>
          <w:rFonts w:hint="eastAsia" w:ascii="仿宋_GB2312" w:hAnsi="Calibri" w:eastAsia="仿宋_GB2312"/>
          <w:color w:val="auto"/>
          <w:sz w:val="32"/>
          <w:szCs w:val="20"/>
        </w:rPr>
        <w:t>条第（一）项的，迁至本区内其他地址经营的，可在第</w:t>
      </w:r>
      <w:r>
        <w:rPr>
          <w:rFonts w:hint="eastAsia" w:ascii="仿宋_GB2312" w:hAnsi="Calibri" w:eastAsia="仿宋_GB2312"/>
          <w:color w:val="auto"/>
          <w:sz w:val="32"/>
          <w:szCs w:val="20"/>
          <w:lang w:val="en-US" w:eastAsia="zh-CN"/>
        </w:rPr>
        <w:t>六</w:t>
      </w:r>
      <w:r>
        <w:rPr>
          <w:rFonts w:hint="eastAsia" w:ascii="仿宋_GB2312" w:hAnsi="Calibri" w:eastAsia="仿宋_GB2312"/>
          <w:color w:val="auto"/>
          <w:sz w:val="32"/>
          <w:szCs w:val="20"/>
        </w:rPr>
        <w:t>条第（一）项标准基础上放宽20%。</w:t>
      </w:r>
    </w:p>
    <w:p>
      <w:pPr>
        <w:spacing w:line="360" w:lineRule="auto"/>
        <w:ind w:firstLine="643" w:firstLineChars="200"/>
        <w:rPr>
          <w:rFonts w:ascii="黑体" w:hAnsi="黑体" w:eastAsia="黑体"/>
          <w:b/>
          <w:color w:val="auto"/>
          <w:sz w:val="32"/>
          <w:szCs w:val="20"/>
        </w:rPr>
      </w:pPr>
      <w:r>
        <w:rPr>
          <w:rFonts w:hint="eastAsia" w:ascii="黑体" w:hAnsi="黑体" w:eastAsia="黑体"/>
          <w:b/>
          <w:color w:val="auto"/>
          <w:sz w:val="32"/>
          <w:szCs w:val="20"/>
        </w:rPr>
        <w:t>第十</w:t>
      </w:r>
      <w:r>
        <w:rPr>
          <w:rFonts w:hint="eastAsia" w:ascii="黑体" w:hAnsi="黑体" w:eastAsia="黑体"/>
          <w:b/>
          <w:color w:val="auto"/>
          <w:sz w:val="32"/>
          <w:szCs w:val="20"/>
          <w:lang w:val="en-US" w:eastAsia="zh-CN"/>
        </w:rPr>
        <w:t>五</w:t>
      </w:r>
      <w:r>
        <w:rPr>
          <w:rFonts w:hint="eastAsia" w:ascii="黑体" w:hAnsi="黑体" w:eastAsia="黑体"/>
          <w:b/>
          <w:color w:val="auto"/>
          <w:sz w:val="32"/>
          <w:szCs w:val="20"/>
        </w:rPr>
        <w:t>条</w:t>
      </w:r>
      <w:r>
        <w:rPr>
          <w:rFonts w:ascii="黑体" w:hAnsi="黑体" w:eastAsia="黑体"/>
          <w:b/>
          <w:color w:val="auto"/>
          <w:sz w:val="32"/>
          <w:szCs w:val="20"/>
        </w:rPr>
        <w:t xml:space="preserve">  </w:t>
      </w:r>
      <w:r>
        <w:rPr>
          <w:rFonts w:hint="eastAsia" w:ascii="仿宋_GB2312" w:hAnsi="Calibri" w:eastAsia="仿宋_GB2312"/>
          <w:color w:val="auto"/>
          <w:sz w:val="32"/>
          <w:szCs w:val="20"/>
        </w:rPr>
        <w:t>幼儿园进出通道口100米内区域实施过渡期管理，不再新增卷烟零售点。本规定实施前幼儿园周边已取得烟草专卖零售许可证的单位或个人</w:t>
      </w:r>
      <w:r>
        <w:rPr>
          <w:rFonts w:hint="eastAsia" w:ascii="仿宋_GB2312" w:hAnsi="Calibri" w:eastAsia="仿宋_GB2312"/>
          <w:color w:val="auto"/>
          <w:sz w:val="32"/>
          <w:szCs w:val="20"/>
          <w:lang w:eastAsia="zh-CN"/>
        </w:rPr>
        <w:t>，</w:t>
      </w:r>
      <w:r>
        <w:rPr>
          <w:rFonts w:hint="eastAsia" w:ascii="仿宋_GB2312" w:hAnsi="Calibri" w:eastAsia="仿宋_GB2312"/>
          <w:color w:val="auto"/>
          <w:sz w:val="32"/>
          <w:szCs w:val="20"/>
        </w:rPr>
        <w:t>到期不予延续。</w:t>
      </w:r>
    </w:p>
    <w:p>
      <w:pPr>
        <w:spacing w:line="360" w:lineRule="auto"/>
        <w:ind w:firstLine="643" w:firstLineChars="200"/>
        <w:rPr>
          <w:rFonts w:ascii="黑体" w:hAnsi="黑体" w:eastAsia="黑体"/>
          <w:b/>
          <w:color w:val="auto"/>
          <w:sz w:val="32"/>
          <w:szCs w:val="20"/>
        </w:rPr>
      </w:pPr>
      <w:r>
        <w:rPr>
          <w:rFonts w:hint="eastAsia" w:ascii="黑体" w:hAnsi="黑体" w:eastAsia="黑体"/>
          <w:b/>
          <w:color w:val="auto"/>
          <w:sz w:val="32"/>
          <w:szCs w:val="20"/>
        </w:rPr>
        <w:t>第十</w:t>
      </w:r>
      <w:r>
        <w:rPr>
          <w:rFonts w:hint="eastAsia" w:ascii="黑体" w:hAnsi="黑体" w:eastAsia="黑体"/>
          <w:b/>
          <w:color w:val="auto"/>
          <w:sz w:val="32"/>
          <w:szCs w:val="20"/>
          <w:lang w:val="en-US" w:eastAsia="zh-CN"/>
        </w:rPr>
        <w:t>六</w:t>
      </w:r>
      <w:r>
        <w:rPr>
          <w:rFonts w:hint="eastAsia" w:ascii="黑体" w:hAnsi="黑体" w:eastAsia="黑体"/>
          <w:b/>
          <w:color w:val="auto"/>
          <w:sz w:val="32"/>
          <w:szCs w:val="20"/>
        </w:rPr>
        <w:t>条</w:t>
      </w:r>
      <w:r>
        <w:rPr>
          <w:rFonts w:hint="eastAsia" w:ascii="仿宋_GB2312" w:hAnsi="Calibri" w:eastAsia="仿宋_GB2312"/>
          <w:color w:val="auto"/>
          <w:sz w:val="32"/>
          <w:szCs w:val="20"/>
        </w:rPr>
        <w:t xml:space="preserve">  中小学是指以未成年人为主要对象的普通中小学、特殊教育学校、中等职业学校、专门学校。幼儿园是指依法批准设立的对三周岁以上学龄前儿童实施保育与教育的学前教育机构。</w:t>
      </w:r>
    </w:p>
    <w:p>
      <w:pPr>
        <w:spacing w:line="360" w:lineRule="auto"/>
        <w:ind w:firstLine="643" w:firstLineChars="200"/>
        <w:rPr>
          <w:rFonts w:ascii="黑体" w:hAnsi="黑体" w:eastAsia="黑体"/>
          <w:b/>
          <w:color w:val="auto"/>
          <w:sz w:val="32"/>
          <w:szCs w:val="20"/>
        </w:rPr>
      </w:pPr>
      <w:r>
        <w:rPr>
          <w:rFonts w:hint="eastAsia" w:ascii="黑体" w:hAnsi="黑体" w:eastAsia="黑体"/>
          <w:b/>
          <w:color w:val="auto"/>
          <w:sz w:val="32"/>
          <w:szCs w:val="20"/>
        </w:rPr>
        <w:t>第十</w:t>
      </w:r>
      <w:r>
        <w:rPr>
          <w:rFonts w:hint="eastAsia" w:ascii="黑体" w:hAnsi="黑体" w:eastAsia="黑体"/>
          <w:b/>
          <w:color w:val="auto"/>
          <w:sz w:val="32"/>
          <w:szCs w:val="20"/>
          <w:lang w:val="en-US" w:eastAsia="zh-CN"/>
        </w:rPr>
        <w:t>七</w:t>
      </w:r>
      <w:r>
        <w:rPr>
          <w:rFonts w:hint="eastAsia" w:ascii="黑体" w:hAnsi="黑体" w:eastAsia="黑体"/>
          <w:b/>
          <w:color w:val="auto"/>
          <w:sz w:val="32"/>
          <w:szCs w:val="20"/>
        </w:rPr>
        <w:t>条</w:t>
      </w:r>
      <w:r>
        <w:rPr>
          <w:rFonts w:hint="eastAsia" w:ascii="仿宋_GB2312" w:hAnsi="Calibri" w:eastAsia="仿宋_GB2312"/>
          <w:color w:val="auto"/>
          <w:sz w:val="32"/>
          <w:szCs w:val="20"/>
        </w:rPr>
        <w:t xml:space="preserve">  本规定第十</w:t>
      </w:r>
      <w:r>
        <w:rPr>
          <w:rFonts w:hint="eastAsia" w:ascii="仿宋_GB2312" w:hAnsi="Calibri" w:eastAsia="仿宋_GB2312"/>
          <w:color w:val="auto"/>
          <w:sz w:val="32"/>
          <w:szCs w:val="20"/>
          <w:lang w:val="en-US" w:eastAsia="zh-CN"/>
        </w:rPr>
        <w:t>三</w:t>
      </w:r>
      <w:r>
        <w:rPr>
          <w:rFonts w:hint="eastAsia" w:ascii="仿宋_GB2312" w:hAnsi="Calibri" w:eastAsia="仿宋_GB2312"/>
          <w:color w:val="auto"/>
          <w:sz w:val="32"/>
          <w:szCs w:val="20"/>
        </w:rPr>
        <w:t>条中进出通道不包括教职工通道、后勤通道、消防通道、应急通道、垃圾通道，以及长年关闭的边门。</w:t>
      </w:r>
    </w:p>
    <w:p>
      <w:pPr>
        <w:spacing w:line="360" w:lineRule="auto"/>
        <w:ind w:firstLine="643" w:firstLineChars="200"/>
        <w:rPr>
          <w:rFonts w:ascii="黑体" w:hAnsi="黑体" w:eastAsia="黑体"/>
          <w:b/>
          <w:color w:val="auto"/>
          <w:sz w:val="32"/>
          <w:szCs w:val="20"/>
        </w:rPr>
      </w:pPr>
      <w:r>
        <w:rPr>
          <w:rFonts w:hint="eastAsia" w:ascii="黑体" w:hAnsi="黑体" w:eastAsia="黑体"/>
          <w:b/>
          <w:color w:val="auto"/>
          <w:sz w:val="32"/>
          <w:szCs w:val="20"/>
        </w:rPr>
        <w:t>第十</w:t>
      </w:r>
      <w:r>
        <w:rPr>
          <w:rFonts w:hint="eastAsia" w:ascii="黑体" w:hAnsi="黑体" w:eastAsia="黑体"/>
          <w:b/>
          <w:color w:val="auto"/>
          <w:sz w:val="32"/>
          <w:szCs w:val="20"/>
          <w:lang w:val="en-US" w:eastAsia="zh-CN"/>
        </w:rPr>
        <w:t>八</w:t>
      </w:r>
      <w:r>
        <w:rPr>
          <w:rFonts w:hint="eastAsia" w:ascii="黑体" w:hAnsi="黑体" w:eastAsia="黑体"/>
          <w:b/>
          <w:color w:val="auto"/>
          <w:sz w:val="32"/>
          <w:szCs w:val="20"/>
        </w:rPr>
        <w:t>条</w:t>
      </w:r>
      <w:r>
        <w:rPr>
          <w:rFonts w:ascii="黑体" w:hAnsi="黑体" w:eastAsia="黑体"/>
          <w:b/>
          <w:color w:val="auto"/>
          <w:sz w:val="32"/>
          <w:szCs w:val="20"/>
        </w:rPr>
        <w:t xml:space="preserve">  </w:t>
      </w:r>
      <w:r>
        <w:rPr>
          <w:rFonts w:hint="eastAsia" w:ascii="仿宋_GB2312" w:hAnsi="Calibri" w:eastAsia="仿宋_GB2312"/>
          <w:color w:val="auto"/>
          <w:sz w:val="32"/>
          <w:szCs w:val="20"/>
        </w:rPr>
        <w:t>大型商业综合体是以商业购物活动为基本内容结合餐饮、休闲娱乐、体育健身等若干功能组成的综合性商业建筑。</w:t>
      </w:r>
    </w:p>
    <w:p>
      <w:pPr>
        <w:widowControl/>
        <w:spacing w:line="360" w:lineRule="auto"/>
        <w:ind w:firstLine="643" w:firstLineChars="200"/>
        <w:jc w:val="left"/>
        <w:rPr>
          <w:rFonts w:hint="eastAsia" w:ascii="仿宋_GB2312" w:hAnsi="Calibri" w:eastAsia="仿宋_GB2312"/>
          <w:color w:val="auto"/>
          <w:sz w:val="32"/>
          <w:szCs w:val="20"/>
        </w:rPr>
      </w:pPr>
      <w:r>
        <w:rPr>
          <w:rFonts w:hint="eastAsia" w:ascii="黑体" w:hAnsi="黑体" w:eastAsia="黑体"/>
          <w:b/>
          <w:color w:val="auto"/>
          <w:sz w:val="32"/>
          <w:szCs w:val="20"/>
        </w:rPr>
        <w:t>第</w:t>
      </w:r>
      <w:r>
        <w:rPr>
          <w:rFonts w:hint="eastAsia" w:ascii="黑体" w:hAnsi="黑体" w:eastAsia="黑体"/>
          <w:b/>
          <w:color w:val="auto"/>
          <w:sz w:val="32"/>
          <w:szCs w:val="20"/>
          <w:lang w:val="en-US" w:eastAsia="zh-CN"/>
        </w:rPr>
        <w:t>十九</w:t>
      </w:r>
      <w:r>
        <w:rPr>
          <w:rFonts w:hint="eastAsia" w:ascii="黑体" w:hAnsi="黑体" w:eastAsia="黑体"/>
          <w:b/>
          <w:color w:val="auto"/>
          <w:sz w:val="32"/>
          <w:szCs w:val="20"/>
        </w:rPr>
        <w:t>条</w:t>
      </w:r>
      <w:r>
        <w:rPr>
          <w:rFonts w:ascii="黑体" w:hAnsi="黑体" w:eastAsia="黑体"/>
          <w:b/>
          <w:color w:val="auto"/>
          <w:sz w:val="32"/>
          <w:szCs w:val="20"/>
        </w:rPr>
        <w:t xml:space="preserve">  </w:t>
      </w:r>
      <w:r>
        <w:rPr>
          <w:rFonts w:hint="eastAsia" w:ascii="仿宋_GB2312" w:hAnsi="Calibri" w:eastAsia="仿宋_GB2312"/>
          <w:color w:val="auto"/>
          <w:sz w:val="32"/>
          <w:szCs w:val="20"/>
        </w:rPr>
        <w:t>有毒、有害、易燃、易爆物品，是指农药、化肥、化工、油漆、涂料、汽油、油墨、烟花爆竹等物品。</w:t>
      </w:r>
    </w:p>
    <w:p>
      <w:pPr>
        <w:widowControl/>
        <w:spacing w:line="360" w:lineRule="auto"/>
        <w:ind w:firstLine="643" w:firstLineChars="200"/>
        <w:jc w:val="left"/>
        <w:rPr>
          <w:rFonts w:hint="eastAsia" w:ascii="仿宋_GB2312" w:hAnsi="仿宋" w:eastAsia="仿宋_GB2312"/>
          <w:b w:val="0"/>
          <w:bCs w:val="0"/>
          <w:color w:val="auto"/>
          <w:sz w:val="32"/>
          <w:szCs w:val="32"/>
        </w:rPr>
      </w:pPr>
      <w:r>
        <w:rPr>
          <w:rFonts w:hint="eastAsia" w:ascii="黑体" w:hAnsi="黑体" w:eastAsia="黑体" w:cs="Times New Roman"/>
          <w:b/>
          <w:color w:val="auto"/>
          <w:sz w:val="32"/>
          <w:szCs w:val="20"/>
          <w:lang w:val="en-US" w:eastAsia="zh-CN"/>
        </w:rPr>
        <w:t>第二十条</w:t>
      </w:r>
      <w:r>
        <w:rPr>
          <w:rFonts w:hint="eastAsia" w:ascii="仿宋_GB2312" w:hAnsi="Calibri" w:eastAsia="仿宋_GB2312"/>
          <w:color w:val="auto"/>
          <w:sz w:val="32"/>
          <w:szCs w:val="20"/>
          <w:lang w:val="en-US" w:eastAsia="zh-CN"/>
        </w:rPr>
        <w:t xml:space="preserve"> </w:t>
      </w:r>
      <w:r>
        <w:rPr>
          <w:rFonts w:hint="eastAsia" w:ascii="仿宋_GB2312" w:hAnsi="仿宋" w:eastAsia="仿宋_GB2312"/>
          <w:b w:val="0"/>
          <w:bCs w:val="0"/>
          <w:color w:val="auto"/>
          <w:sz w:val="32"/>
          <w:szCs w:val="32"/>
        </w:rPr>
        <w:t>本规定所称 “固定经营场所”是指应具备对外正常经营、安全储存烟草制品的基本设施和条件，不包含违法建筑、流动摊点、售货车、集装箱屋、临时棚舍、公厕、车棚、车库、</w:t>
      </w:r>
      <w:r>
        <w:rPr>
          <w:rFonts w:hint="eastAsia" w:ascii="仿宋_GB2312" w:hAnsi="仿宋" w:eastAsia="仿宋_GB2312"/>
          <w:b w:val="0"/>
          <w:bCs w:val="0"/>
          <w:color w:val="auto"/>
          <w:sz w:val="32"/>
          <w:szCs w:val="32"/>
          <w:lang w:val="en-US" w:eastAsia="zh-CN"/>
        </w:rPr>
        <w:t>储藏室、</w:t>
      </w:r>
      <w:r>
        <w:rPr>
          <w:rFonts w:hint="eastAsia" w:ascii="仿宋_GB2312" w:hAnsi="仿宋" w:eastAsia="仿宋_GB2312"/>
          <w:b w:val="0"/>
          <w:bCs w:val="0"/>
          <w:color w:val="auto"/>
          <w:sz w:val="32"/>
          <w:szCs w:val="32"/>
        </w:rPr>
        <w:t>市场无围墙摊位等。</w:t>
      </w:r>
    </w:p>
    <w:p>
      <w:pPr>
        <w:widowControl/>
        <w:spacing w:line="360" w:lineRule="auto"/>
        <w:ind w:firstLine="640" w:firstLineChars="200"/>
        <w:jc w:val="left"/>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经营场所不能将生活区与经营区、仓储区完全隔离的，如：前后、左右、上下与门相通的隔间、阁楼、仓库、房间等，均视其为经营场所。</w:t>
      </w:r>
    </w:p>
    <w:p>
      <w:pPr>
        <w:spacing w:line="360" w:lineRule="auto"/>
        <w:ind w:firstLine="643" w:firstLineChars="200"/>
        <w:rPr>
          <w:rFonts w:ascii="黑体" w:hAnsi="黑体" w:eastAsia="黑体"/>
          <w:b/>
          <w:color w:val="auto"/>
          <w:sz w:val="32"/>
          <w:szCs w:val="20"/>
        </w:rPr>
      </w:pPr>
      <w:r>
        <w:rPr>
          <w:rFonts w:hint="eastAsia" w:ascii="黑体" w:hAnsi="黑体" w:eastAsia="黑体"/>
          <w:b/>
          <w:color w:val="auto"/>
          <w:sz w:val="32"/>
          <w:szCs w:val="20"/>
        </w:rPr>
        <w:t>第</w:t>
      </w:r>
      <w:r>
        <w:rPr>
          <w:rFonts w:hint="eastAsia" w:ascii="黑体" w:hAnsi="黑体" w:eastAsia="黑体"/>
          <w:b/>
          <w:color w:val="auto"/>
          <w:sz w:val="32"/>
          <w:szCs w:val="20"/>
          <w:lang w:val="en-US" w:eastAsia="zh-CN"/>
        </w:rPr>
        <w:t>二十一</w:t>
      </w:r>
      <w:r>
        <w:rPr>
          <w:rFonts w:hint="eastAsia" w:ascii="黑体" w:hAnsi="黑体" w:eastAsia="黑体"/>
          <w:b/>
          <w:color w:val="auto"/>
          <w:sz w:val="32"/>
          <w:szCs w:val="20"/>
        </w:rPr>
        <w:t>条</w:t>
      </w:r>
      <w:r>
        <w:rPr>
          <w:rFonts w:hint="eastAsia" w:ascii="仿宋_GB2312" w:hAnsi="Calibri" w:eastAsia="仿宋_GB2312"/>
          <w:color w:val="auto"/>
          <w:sz w:val="32"/>
          <w:szCs w:val="20"/>
        </w:rPr>
        <w:t xml:space="preserve">  本规定未明确界定的区域，或者按有关条款无法辨明适用布局标准的区域，参照第</w:t>
      </w:r>
      <w:r>
        <w:rPr>
          <w:rFonts w:hint="eastAsia" w:ascii="仿宋_GB2312" w:hAnsi="Calibri" w:eastAsia="仿宋_GB2312"/>
          <w:color w:val="auto"/>
          <w:sz w:val="32"/>
          <w:szCs w:val="20"/>
          <w:lang w:val="en-US" w:eastAsia="zh-CN"/>
        </w:rPr>
        <w:t>六</w:t>
      </w:r>
      <w:r>
        <w:rPr>
          <w:rFonts w:hint="eastAsia" w:ascii="仿宋_GB2312" w:hAnsi="Calibri" w:eastAsia="仿宋_GB2312"/>
          <w:color w:val="auto"/>
          <w:sz w:val="32"/>
          <w:szCs w:val="20"/>
        </w:rPr>
        <w:t>条第（一）项规定办理。</w:t>
      </w:r>
    </w:p>
    <w:p>
      <w:pPr>
        <w:spacing w:line="360" w:lineRule="auto"/>
        <w:ind w:firstLine="643" w:firstLineChars="200"/>
        <w:rPr>
          <w:rFonts w:hint="eastAsia" w:ascii="仿宋_GB2312" w:hAnsi="Calibri" w:eastAsia="仿宋_GB2312"/>
          <w:color w:val="auto"/>
          <w:sz w:val="32"/>
          <w:szCs w:val="20"/>
        </w:rPr>
      </w:pPr>
      <w:r>
        <w:rPr>
          <w:rFonts w:hint="eastAsia" w:ascii="黑体" w:hAnsi="黑体" w:eastAsia="黑体"/>
          <w:b/>
          <w:color w:val="auto"/>
          <w:sz w:val="32"/>
          <w:szCs w:val="20"/>
        </w:rPr>
        <w:t>第</w:t>
      </w:r>
      <w:r>
        <w:rPr>
          <w:rFonts w:hint="eastAsia" w:ascii="黑体" w:hAnsi="黑体" w:eastAsia="黑体"/>
          <w:b/>
          <w:color w:val="auto"/>
          <w:sz w:val="32"/>
          <w:szCs w:val="20"/>
          <w:lang w:val="en-US" w:eastAsia="zh-CN"/>
        </w:rPr>
        <w:t>二十二</w:t>
      </w:r>
      <w:r>
        <w:rPr>
          <w:rFonts w:hint="eastAsia" w:ascii="黑体" w:hAnsi="黑体" w:eastAsia="黑体"/>
          <w:b/>
          <w:color w:val="auto"/>
          <w:sz w:val="32"/>
          <w:szCs w:val="20"/>
        </w:rPr>
        <w:t>条</w:t>
      </w:r>
      <w:r>
        <w:rPr>
          <w:rFonts w:hint="eastAsia" w:ascii="仿宋_GB2312" w:hAnsi="Calibri" w:eastAsia="仿宋_GB2312"/>
          <w:color w:val="auto"/>
          <w:sz w:val="32"/>
          <w:szCs w:val="20"/>
        </w:rPr>
        <w:t xml:space="preserve">  根据本规定第</w:t>
      </w:r>
      <w:r>
        <w:rPr>
          <w:rFonts w:hint="eastAsia" w:ascii="仿宋_GB2312" w:hAnsi="Calibri" w:eastAsia="仿宋_GB2312"/>
          <w:color w:val="auto"/>
          <w:sz w:val="32"/>
          <w:szCs w:val="20"/>
          <w:lang w:val="en-US" w:eastAsia="zh-CN"/>
        </w:rPr>
        <w:t>八</w:t>
      </w:r>
      <w:r>
        <w:rPr>
          <w:rFonts w:hint="eastAsia" w:ascii="仿宋_GB2312" w:hAnsi="Calibri" w:eastAsia="仿宋_GB2312"/>
          <w:color w:val="auto"/>
          <w:sz w:val="32"/>
          <w:szCs w:val="20"/>
        </w:rPr>
        <w:t>条、第</w:t>
      </w:r>
      <w:r>
        <w:rPr>
          <w:rFonts w:hint="eastAsia" w:ascii="仿宋_GB2312" w:hAnsi="Calibri" w:eastAsia="仿宋_GB2312"/>
          <w:color w:val="auto"/>
          <w:sz w:val="32"/>
          <w:szCs w:val="20"/>
          <w:lang w:val="en-US" w:eastAsia="zh-CN"/>
        </w:rPr>
        <w:t>九</w:t>
      </w:r>
      <w:r>
        <w:rPr>
          <w:rFonts w:hint="eastAsia" w:ascii="仿宋_GB2312" w:hAnsi="Calibri" w:eastAsia="仿宋_GB2312"/>
          <w:color w:val="auto"/>
          <w:sz w:val="32"/>
          <w:szCs w:val="20"/>
        </w:rPr>
        <w:t>条、第</w:t>
      </w:r>
      <w:r>
        <w:rPr>
          <w:rFonts w:hint="eastAsia" w:ascii="仿宋_GB2312" w:hAnsi="Calibri" w:eastAsia="仿宋_GB2312"/>
          <w:color w:val="auto"/>
          <w:sz w:val="32"/>
          <w:szCs w:val="20"/>
          <w:lang w:val="en-US" w:eastAsia="zh-CN"/>
        </w:rPr>
        <w:t>十</w:t>
      </w:r>
      <w:r>
        <w:rPr>
          <w:rFonts w:hint="eastAsia" w:ascii="仿宋_GB2312" w:hAnsi="Calibri" w:eastAsia="仿宋_GB2312"/>
          <w:color w:val="auto"/>
          <w:sz w:val="32"/>
          <w:szCs w:val="20"/>
        </w:rPr>
        <w:t>条设置的零售点仅享受优惠政策一次。</w:t>
      </w:r>
    </w:p>
    <w:p>
      <w:pPr>
        <w:spacing w:line="360" w:lineRule="auto"/>
        <w:ind w:firstLine="643" w:firstLineChars="200"/>
        <w:jc w:val="left"/>
        <w:rPr>
          <w:rFonts w:hint="eastAsia" w:ascii="仿宋_GB2312" w:hAnsi="Calibri" w:eastAsia="仿宋_GB2312"/>
          <w:color w:val="auto"/>
          <w:sz w:val="32"/>
          <w:szCs w:val="20"/>
          <w:lang w:val="en-US" w:eastAsia="zh-CN"/>
        </w:rPr>
      </w:pPr>
      <w:r>
        <w:rPr>
          <w:rFonts w:hint="eastAsia" w:ascii="黑体" w:hAnsi="黑体" w:eastAsia="黑体"/>
          <w:b/>
          <w:color w:val="auto"/>
          <w:sz w:val="32"/>
          <w:szCs w:val="20"/>
        </w:rPr>
        <w:t>第</w:t>
      </w:r>
      <w:r>
        <w:rPr>
          <w:rFonts w:hint="eastAsia" w:ascii="黑体" w:hAnsi="黑体" w:eastAsia="黑体"/>
          <w:b/>
          <w:color w:val="auto"/>
          <w:sz w:val="32"/>
          <w:szCs w:val="20"/>
          <w:lang w:val="en-US" w:eastAsia="zh-CN"/>
        </w:rPr>
        <w:t>二十三</w:t>
      </w:r>
      <w:r>
        <w:rPr>
          <w:rFonts w:hint="eastAsia" w:ascii="黑体" w:hAnsi="黑体" w:eastAsia="黑体"/>
          <w:b/>
          <w:color w:val="auto"/>
          <w:sz w:val="32"/>
          <w:szCs w:val="20"/>
        </w:rPr>
        <w:t>条</w:t>
      </w:r>
      <w:r>
        <w:rPr>
          <w:rFonts w:hint="eastAsia" w:ascii="仿宋_GB2312" w:hAnsi="Calibri" w:eastAsia="仿宋_GB2312"/>
          <w:color w:val="auto"/>
          <w:sz w:val="32"/>
          <w:szCs w:val="20"/>
        </w:rPr>
        <w:t xml:space="preserve"> </w:t>
      </w:r>
      <w:r>
        <w:rPr>
          <w:rFonts w:hint="eastAsia" w:ascii="仿宋_GB2312" w:hAnsi="Calibri" w:eastAsia="仿宋_GB2312"/>
          <w:color w:val="auto"/>
          <w:sz w:val="32"/>
          <w:szCs w:val="20"/>
          <w:lang w:val="en-US" w:eastAsia="zh-CN"/>
        </w:rPr>
        <w:t xml:space="preserve"> </w:t>
      </w:r>
      <w:r>
        <w:rPr>
          <w:rStyle w:val="13"/>
          <w:rFonts w:ascii="仿宋_GB2312" w:hAnsi="黑体" w:eastAsia="仿宋_GB2312"/>
          <w:color w:val="auto"/>
          <w:sz w:val="32"/>
          <w:lang w:val="zh-CN"/>
        </w:rPr>
        <w:t>本规定所称的</w:t>
      </w:r>
      <w:r>
        <w:rPr>
          <w:rStyle w:val="13"/>
          <w:rFonts w:hint="eastAsia" w:ascii="仿宋_GB2312" w:hAnsi="黑体" w:eastAsia="仿宋_GB2312"/>
          <w:color w:val="auto"/>
          <w:sz w:val="32"/>
          <w:lang w:val="zh-CN"/>
        </w:rPr>
        <w:t>“</w:t>
      </w:r>
      <w:r>
        <w:rPr>
          <w:rFonts w:hint="eastAsia" w:ascii="仿宋_GB2312" w:hAnsi="Calibri" w:eastAsia="仿宋_GB2312"/>
          <w:color w:val="auto"/>
          <w:sz w:val="32"/>
          <w:szCs w:val="20"/>
        </w:rPr>
        <w:t>间隔距离</w:t>
      </w:r>
      <w:r>
        <w:rPr>
          <w:rStyle w:val="13"/>
          <w:rFonts w:hint="eastAsia" w:ascii="仿宋_GB2312" w:hAnsi="黑体" w:eastAsia="仿宋_GB2312"/>
          <w:color w:val="auto"/>
          <w:sz w:val="32"/>
          <w:lang w:val="zh-CN"/>
        </w:rPr>
        <w:t>”</w:t>
      </w:r>
      <w:r>
        <w:rPr>
          <w:rStyle w:val="13"/>
          <w:rFonts w:ascii="仿宋_GB2312" w:hAnsi="黑体" w:eastAsia="仿宋_GB2312"/>
          <w:color w:val="auto"/>
          <w:sz w:val="32"/>
          <w:lang w:val="zh-CN"/>
        </w:rPr>
        <w:t>是指行人同侧、异侧、拐角等可通过的最短距离，按照消费者日常生活习惯并符合交通规则的通行线路进行测量，</w:t>
      </w:r>
      <w:r>
        <w:rPr>
          <w:rStyle w:val="13"/>
          <w:rFonts w:hint="eastAsia" w:ascii="仿宋_GB2312" w:hAnsi="黑体" w:eastAsia="仿宋_GB2312"/>
          <w:color w:val="auto"/>
          <w:sz w:val="32"/>
          <w:lang w:val="zh-CN"/>
        </w:rPr>
        <w:t>详见附件1。</w:t>
      </w:r>
      <w:r>
        <w:rPr>
          <w:rStyle w:val="13"/>
          <w:rFonts w:ascii="仿宋_GB2312" w:hAnsi="黑体" w:eastAsia="仿宋_GB2312"/>
          <w:color w:val="auto"/>
          <w:sz w:val="32"/>
          <w:lang w:val="zh-CN"/>
        </w:rPr>
        <w:t>申请人及利益相关方对间隔距离有异议的，可申请当地烟草专卖行政主管部门重新进行实地间距测量</w:t>
      </w:r>
      <w:r>
        <w:rPr>
          <w:rStyle w:val="13"/>
          <w:rFonts w:hint="eastAsia" w:ascii="仿宋_GB2312" w:hAnsi="黑体" w:eastAsia="仿宋_GB2312"/>
          <w:color w:val="auto"/>
          <w:sz w:val="32"/>
          <w:lang w:val="zh-CN"/>
        </w:rPr>
        <w:t>，</w:t>
      </w:r>
      <w:r>
        <w:rPr>
          <w:rStyle w:val="13"/>
          <w:rFonts w:ascii="仿宋_GB2312" w:hAnsi="黑体" w:eastAsia="仿宋_GB2312"/>
          <w:color w:val="auto"/>
          <w:sz w:val="32"/>
          <w:lang w:val="zh-CN"/>
        </w:rPr>
        <w:t>测量时，申请人、利益相关方和烟草专卖管理人员必须同时在场。</w:t>
      </w:r>
    </w:p>
    <w:p>
      <w:pPr>
        <w:spacing w:line="360" w:lineRule="auto"/>
        <w:ind w:firstLine="643" w:firstLineChars="200"/>
        <w:rPr>
          <w:rFonts w:ascii="仿宋_GB2312" w:hAnsi="Calibri" w:eastAsia="仿宋_GB2312"/>
          <w:color w:val="auto"/>
          <w:sz w:val="32"/>
          <w:szCs w:val="20"/>
        </w:rPr>
      </w:pPr>
      <w:r>
        <w:rPr>
          <w:rFonts w:hint="eastAsia" w:ascii="黑体" w:hAnsi="黑体" w:eastAsia="黑体"/>
          <w:b/>
          <w:color w:val="auto"/>
          <w:sz w:val="32"/>
          <w:szCs w:val="20"/>
        </w:rPr>
        <w:t>第</w:t>
      </w:r>
      <w:r>
        <w:rPr>
          <w:rFonts w:hint="eastAsia" w:ascii="黑体" w:hAnsi="黑体" w:eastAsia="黑体"/>
          <w:b/>
          <w:color w:val="auto"/>
          <w:sz w:val="32"/>
          <w:szCs w:val="20"/>
          <w:lang w:val="en-US" w:eastAsia="zh-CN"/>
        </w:rPr>
        <w:t>二十四</w:t>
      </w:r>
      <w:r>
        <w:rPr>
          <w:rFonts w:hint="eastAsia" w:ascii="黑体" w:hAnsi="黑体" w:eastAsia="黑体"/>
          <w:b/>
          <w:color w:val="auto"/>
          <w:sz w:val="32"/>
          <w:szCs w:val="20"/>
        </w:rPr>
        <w:t>条</w:t>
      </w:r>
      <w:r>
        <w:rPr>
          <w:rFonts w:hint="eastAsia" w:ascii="仿宋_GB2312" w:hAnsi="Calibri" w:eastAsia="仿宋_GB2312"/>
          <w:color w:val="auto"/>
          <w:sz w:val="32"/>
          <w:szCs w:val="20"/>
        </w:rPr>
        <w:t xml:space="preserve">  本规定所称“以上”、“以内”、“不低于”、“不超过”均包括本数。</w:t>
      </w:r>
    </w:p>
    <w:p>
      <w:pPr>
        <w:spacing w:line="360" w:lineRule="auto"/>
        <w:ind w:firstLine="643" w:firstLineChars="200"/>
        <w:rPr>
          <w:rFonts w:ascii="黑体" w:hAnsi="黑体" w:eastAsia="黑体"/>
          <w:b/>
          <w:color w:val="auto"/>
          <w:sz w:val="32"/>
          <w:szCs w:val="20"/>
        </w:rPr>
      </w:pPr>
      <w:r>
        <w:rPr>
          <w:rFonts w:hint="eastAsia" w:ascii="黑体" w:hAnsi="黑体" w:eastAsia="黑体"/>
          <w:b/>
          <w:color w:val="auto"/>
          <w:sz w:val="32"/>
          <w:szCs w:val="20"/>
        </w:rPr>
        <w:t>第二十</w:t>
      </w:r>
      <w:r>
        <w:rPr>
          <w:rFonts w:hint="eastAsia" w:ascii="黑体" w:hAnsi="黑体" w:eastAsia="黑体"/>
          <w:b/>
          <w:color w:val="auto"/>
          <w:sz w:val="32"/>
          <w:szCs w:val="20"/>
          <w:lang w:val="en-US" w:eastAsia="zh-CN"/>
        </w:rPr>
        <w:t>五</w:t>
      </w:r>
      <w:r>
        <w:rPr>
          <w:rFonts w:hint="eastAsia" w:ascii="黑体" w:hAnsi="黑体" w:eastAsia="黑体"/>
          <w:b/>
          <w:color w:val="auto"/>
          <w:sz w:val="32"/>
          <w:szCs w:val="20"/>
        </w:rPr>
        <w:t>条</w:t>
      </w:r>
      <w:r>
        <w:rPr>
          <w:rFonts w:hint="eastAsia" w:ascii="仿宋_GB2312" w:hAnsi="Calibri" w:eastAsia="仿宋_GB2312"/>
          <w:color w:val="auto"/>
          <w:sz w:val="32"/>
          <w:szCs w:val="20"/>
        </w:rPr>
        <w:t xml:space="preserve">  本规定由</w:t>
      </w:r>
      <w:r>
        <w:rPr>
          <w:rFonts w:hint="eastAsia" w:ascii="仿宋_GB2312" w:hAnsi="Calibri" w:eastAsia="仿宋_GB2312"/>
          <w:color w:val="auto"/>
          <w:sz w:val="32"/>
          <w:szCs w:val="20"/>
          <w:lang w:val="en-US" w:eastAsia="zh-CN"/>
        </w:rPr>
        <w:t>莱</w:t>
      </w:r>
      <w:r>
        <w:rPr>
          <w:rFonts w:hint="eastAsia" w:ascii="仿宋_GB2312" w:hAnsi="Calibri" w:eastAsia="仿宋_GB2312"/>
          <w:color w:val="auto"/>
          <w:sz w:val="32"/>
          <w:szCs w:val="20"/>
          <w:lang w:eastAsia="zh-CN"/>
        </w:rPr>
        <w:t>城区</w:t>
      </w:r>
      <w:r>
        <w:rPr>
          <w:rFonts w:hint="eastAsia" w:ascii="仿宋_GB2312" w:hAnsi="Calibri" w:eastAsia="仿宋_GB2312"/>
          <w:color w:val="auto"/>
          <w:sz w:val="32"/>
          <w:szCs w:val="20"/>
        </w:rPr>
        <w:t>烟草专卖局负责解释。本规定实施过程中，法律、行政法规、规章和上级规范性文件另外规定的，从其规定。</w:t>
      </w:r>
    </w:p>
    <w:p>
      <w:pPr>
        <w:spacing w:line="360" w:lineRule="auto"/>
        <w:ind w:firstLine="640" w:firstLineChars="200"/>
        <w:rPr>
          <w:rFonts w:ascii="仿宋_GB2312" w:hAnsi="Calibri" w:eastAsia="仿宋_GB2312"/>
          <w:color w:val="auto"/>
          <w:sz w:val="32"/>
          <w:szCs w:val="20"/>
        </w:rPr>
      </w:pPr>
      <w:r>
        <w:rPr>
          <w:rFonts w:hint="eastAsia" w:ascii="黑体" w:hAnsi="黑体" w:eastAsia="黑体"/>
          <w:color w:val="auto"/>
          <w:sz w:val="32"/>
          <w:szCs w:val="20"/>
        </w:rPr>
        <w:t>第二十</w:t>
      </w:r>
      <w:r>
        <w:rPr>
          <w:rFonts w:hint="eastAsia" w:ascii="黑体" w:hAnsi="黑体" w:eastAsia="黑体"/>
          <w:color w:val="auto"/>
          <w:sz w:val="32"/>
          <w:szCs w:val="20"/>
          <w:lang w:val="en-US" w:eastAsia="zh-CN"/>
        </w:rPr>
        <w:t>六</w:t>
      </w:r>
      <w:r>
        <w:rPr>
          <w:rFonts w:hint="eastAsia" w:ascii="黑体" w:hAnsi="黑体" w:eastAsia="黑体"/>
          <w:color w:val="auto"/>
          <w:sz w:val="32"/>
          <w:szCs w:val="20"/>
        </w:rPr>
        <w:t>条</w:t>
      </w:r>
      <w:r>
        <w:rPr>
          <w:rFonts w:hint="eastAsia" w:ascii="仿宋_GB2312" w:hAnsi="Calibri" w:eastAsia="仿宋_GB2312"/>
          <w:color w:val="auto"/>
          <w:sz w:val="32"/>
          <w:szCs w:val="20"/>
        </w:rPr>
        <w:t xml:space="preserve">  本规定自</w:t>
      </w:r>
      <w:r>
        <w:rPr>
          <w:rFonts w:hint="eastAsia" w:ascii="仿宋_GB2312" w:hAnsi="Calibri" w:eastAsia="仿宋_GB2312"/>
          <w:color w:val="auto"/>
          <w:sz w:val="32"/>
          <w:szCs w:val="20"/>
          <w:lang w:val="en-US" w:eastAsia="zh-CN"/>
        </w:rPr>
        <w:t>****</w:t>
      </w:r>
      <w:r>
        <w:rPr>
          <w:rFonts w:hint="eastAsia" w:ascii="仿宋_GB2312" w:hAnsi="Calibri" w:eastAsia="仿宋_GB2312"/>
          <w:color w:val="auto"/>
          <w:sz w:val="32"/>
          <w:szCs w:val="20"/>
        </w:rPr>
        <w:t>年</w:t>
      </w:r>
      <w:r>
        <w:rPr>
          <w:rFonts w:hint="eastAsia" w:ascii="仿宋_GB2312" w:hAnsi="Calibri" w:eastAsia="仿宋_GB2312"/>
          <w:color w:val="auto"/>
          <w:sz w:val="32"/>
          <w:szCs w:val="20"/>
          <w:lang w:val="en-US" w:eastAsia="zh-CN"/>
        </w:rPr>
        <w:t>**</w:t>
      </w:r>
      <w:r>
        <w:rPr>
          <w:rFonts w:hint="eastAsia" w:ascii="仿宋_GB2312" w:hAnsi="Calibri" w:eastAsia="仿宋_GB2312"/>
          <w:color w:val="auto"/>
          <w:sz w:val="32"/>
          <w:szCs w:val="20"/>
        </w:rPr>
        <w:t>月</w:t>
      </w:r>
      <w:r>
        <w:rPr>
          <w:rFonts w:hint="eastAsia" w:ascii="仿宋_GB2312" w:hAnsi="Calibri" w:eastAsia="仿宋_GB2312"/>
          <w:color w:val="auto"/>
          <w:sz w:val="32"/>
          <w:szCs w:val="20"/>
          <w:lang w:val="en-US" w:eastAsia="zh-CN"/>
        </w:rPr>
        <w:t>**</w:t>
      </w:r>
      <w:r>
        <w:rPr>
          <w:rFonts w:hint="eastAsia" w:ascii="仿宋_GB2312" w:hAnsi="Calibri" w:eastAsia="仿宋_GB2312"/>
          <w:color w:val="auto"/>
          <w:sz w:val="32"/>
          <w:szCs w:val="20"/>
        </w:rPr>
        <w:t>日起施行，有效期至</w:t>
      </w:r>
      <w:r>
        <w:rPr>
          <w:rFonts w:hint="eastAsia" w:ascii="仿宋_GB2312" w:hAnsi="Calibri" w:eastAsia="仿宋_GB2312"/>
          <w:color w:val="auto"/>
          <w:sz w:val="32"/>
          <w:szCs w:val="20"/>
          <w:lang w:val="en-US" w:eastAsia="zh-CN"/>
        </w:rPr>
        <w:t>****</w:t>
      </w:r>
      <w:r>
        <w:rPr>
          <w:rFonts w:hint="eastAsia" w:ascii="仿宋_GB2312" w:hAnsi="Calibri" w:eastAsia="仿宋_GB2312"/>
          <w:color w:val="auto"/>
          <w:sz w:val="32"/>
          <w:szCs w:val="20"/>
        </w:rPr>
        <w:t>年</w:t>
      </w:r>
      <w:r>
        <w:rPr>
          <w:rFonts w:hint="eastAsia" w:ascii="仿宋_GB2312" w:hAnsi="Calibri" w:eastAsia="仿宋_GB2312"/>
          <w:color w:val="auto"/>
          <w:sz w:val="32"/>
          <w:szCs w:val="20"/>
          <w:lang w:val="en-US" w:eastAsia="zh-CN"/>
        </w:rPr>
        <w:t>**</w:t>
      </w:r>
      <w:r>
        <w:rPr>
          <w:rFonts w:hint="eastAsia" w:ascii="仿宋_GB2312" w:hAnsi="Calibri" w:eastAsia="仿宋_GB2312"/>
          <w:color w:val="auto"/>
          <w:sz w:val="32"/>
          <w:szCs w:val="20"/>
        </w:rPr>
        <w:t>月</w:t>
      </w:r>
      <w:r>
        <w:rPr>
          <w:rFonts w:hint="eastAsia" w:ascii="仿宋_GB2312" w:hAnsi="Calibri" w:eastAsia="仿宋_GB2312"/>
          <w:color w:val="auto"/>
          <w:sz w:val="32"/>
          <w:szCs w:val="20"/>
          <w:lang w:val="en-US" w:eastAsia="zh-CN"/>
        </w:rPr>
        <w:t>**</w:t>
      </w:r>
      <w:r>
        <w:rPr>
          <w:rFonts w:hint="eastAsia" w:ascii="仿宋_GB2312" w:hAnsi="Calibri" w:eastAsia="仿宋_GB2312"/>
          <w:color w:val="auto"/>
          <w:sz w:val="32"/>
          <w:szCs w:val="20"/>
        </w:rPr>
        <w:t>日。</w:t>
      </w:r>
    </w:p>
    <w:p>
      <w:pPr>
        <w:spacing w:line="360" w:lineRule="auto"/>
        <w:ind w:firstLine="640" w:firstLineChars="200"/>
        <w:rPr>
          <w:rFonts w:hint="eastAsia" w:ascii="仿宋_GB2312" w:hAnsi="仿宋_GB2312" w:eastAsia="仿宋_GB2312" w:cs="仿宋_GB2312"/>
          <w:color w:val="auto"/>
          <w:sz w:val="32"/>
          <w:szCs w:val="32"/>
          <w:lang w:val="en-US" w:eastAsia="zh-CN"/>
        </w:rPr>
      </w:pP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p>
    <w:p>
      <w:pPr>
        <w:numPr>
          <w:ilvl w:val="0"/>
          <w:numId w:val="3"/>
        </w:num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莱芜区烟草制品零售点布局合理容量表</w:t>
      </w:r>
    </w:p>
    <w:p>
      <w:pPr>
        <w:numPr>
          <w:ilvl w:val="0"/>
          <w:numId w:val="3"/>
        </w:num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莱城区烟草专卖局</w:t>
      </w:r>
      <w:r>
        <w:rPr>
          <w:rFonts w:hint="default" w:ascii="仿宋_GB2312" w:hAnsi="仿宋_GB2312" w:eastAsia="仿宋_GB2312" w:cs="仿宋_GB2312"/>
          <w:color w:val="auto"/>
          <w:sz w:val="32"/>
          <w:szCs w:val="32"/>
          <w:lang w:val="en-US" w:eastAsia="zh-CN"/>
        </w:rPr>
        <w:t>烟草制品零售点合理布局经营场</w:t>
      </w:r>
    </w:p>
    <w:p>
      <w:pPr>
        <w:numPr>
          <w:ilvl w:val="0"/>
          <w:numId w:val="0"/>
        </w:numPr>
        <w:spacing w:line="360" w:lineRule="auto"/>
        <w:ind w:firstLine="1280" w:firstLineChars="4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所勘验测量标准</w:t>
      </w:r>
    </w:p>
    <w:p>
      <w:pPr>
        <w:spacing w:line="360" w:lineRule="auto"/>
        <w:rPr>
          <w:rFonts w:hint="default" w:ascii="仿宋_GB2312" w:eastAsia="仿宋_GB2312"/>
          <w:color w:val="auto"/>
          <w:sz w:val="32"/>
          <w:lang w:val="en-US" w:eastAsia="zh-CN"/>
        </w:rPr>
      </w:pPr>
      <w:bookmarkStart w:id="1" w:name="发文机关"/>
      <w:bookmarkEnd w:id="1"/>
      <w:r>
        <w:rPr>
          <w:rFonts w:hint="eastAsia" w:ascii="仿宋_GB2312" w:eastAsia="仿宋_GB2312"/>
          <w:color w:val="auto"/>
          <w:sz w:val="32"/>
          <w:lang w:val="en-US" w:eastAsia="zh-CN"/>
        </w:rPr>
        <w:t xml:space="preserve">        </w:t>
      </w:r>
    </w:p>
    <w:p>
      <w:pPr>
        <w:spacing w:line="240" w:lineRule="auto"/>
        <w:rPr>
          <w:rFonts w:hint="eastAsia" w:ascii="方正小标宋简体" w:hAnsi="方正小标宋简体" w:eastAsia="方正小标宋简体" w:cs="方正小标宋简体"/>
          <w:color w:val="auto"/>
          <w:sz w:val="36"/>
          <w:szCs w:val="36"/>
          <w:lang w:val="en-US" w:eastAsia="zh-CN"/>
        </w:rPr>
      </w:pPr>
      <w:r>
        <w:rPr>
          <w:rStyle w:val="13"/>
          <w:rFonts w:ascii="黑体" w:hAnsi="黑体" w:eastAsia="黑体"/>
          <w:color w:val="auto"/>
          <w:sz w:val="32"/>
        </w:rPr>
        <w:t>附件</w:t>
      </w:r>
      <w:r>
        <w:rPr>
          <w:rStyle w:val="13"/>
          <w:rFonts w:hint="eastAsia" w:ascii="黑体" w:hAnsi="黑体" w:eastAsia="黑体"/>
          <w:color w:val="auto"/>
          <w:sz w:val="32"/>
        </w:rPr>
        <w:t>1</w:t>
      </w:r>
    </w:p>
    <w:p>
      <w:pPr>
        <w:numPr>
          <w:ilvl w:val="0"/>
          <w:numId w:val="0"/>
        </w:numPr>
        <w:spacing w:line="360" w:lineRule="auto"/>
        <w:ind w:firstLine="1080" w:firstLineChars="300"/>
        <w:rPr>
          <w:rStyle w:val="13"/>
          <w:rFonts w:hint="eastAsia" w:ascii="黑体" w:hAnsi="黑体" w:eastAsia="黑体"/>
          <w:color w:val="auto"/>
          <w:sz w:val="32"/>
          <w:lang w:eastAsia="zh-CN"/>
        </w:rPr>
      </w:pPr>
      <w:r>
        <w:rPr>
          <w:rFonts w:hint="eastAsia" w:ascii="方正小标宋简体" w:hAnsi="方正小标宋简体" w:eastAsia="方正小标宋简体" w:cs="方正小标宋简体"/>
          <w:color w:val="auto"/>
          <w:sz w:val="36"/>
          <w:szCs w:val="36"/>
          <w:lang w:val="en-US" w:eastAsia="zh-CN"/>
        </w:rPr>
        <w:t>莱芜区烟草制品零售点布局合理容量表</w:t>
      </w: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44"/>
        <w:gridCol w:w="1903"/>
        <w:gridCol w:w="1903"/>
        <w:gridCol w:w="2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auto"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9525</wp:posOffset>
                  </wp:positionV>
                  <wp:extent cx="1290320" cy="524510"/>
                  <wp:effectExtent l="0" t="0" r="5080" b="889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1"/>
                          <a:stretch>
                            <a:fillRect/>
                          </a:stretch>
                        </pic:blipFill>
                        <pic:spPr>
                          <a:xfrm>
                            <a:off x="0" y="0"/>
                            <a:ext cx="1290320" cy="524510"/>
                          </a:xfrm>
                          <a:prstGeom prst="rect">
                            <a:avLst/>
                          </a:prstGeom>
                          <a:noFill/>
                          <a:ln>
                            <a:noFill/>
                          </a:ln>
                        </pic:spPr>
                      </pic:pic>
                    </a:graphicData>
                  </a:graphic>
                </wp:anchor>
              </w:drawing>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合理容量（户）</w:t>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现有户数（户）</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可新办证户数（户）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2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凤城街道办事处</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 xml:space="preserve">792 </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698</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鹏泉街道办事处</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 xml:space="preserve">537 </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428</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羊里街道办事处</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 xml:space="preserve">181 </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211</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2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寨里镇</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 xml:space="preserve">138 </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160</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杨庄镇</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 xml:space="preserve">124 </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136</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大王庄镇</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 xml:space="preserve">104 </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130</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2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kern w:val="0"/>
                <w:sz w:val="24"/>
                <w:szCs w:val="24"/>
                <w:u w:val="none"/>
                <w:lang w:val="en-US" w:eastAsia="zh-CN" w:bidi="ar"/>
              </w:rPr>
              <w:t>高庄街道办事处</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 xml:space="preserve">248 </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264</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2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kern w:val="0"/>
                <w:sz w:val="24"/>
                <w:szCs w:val="24"/>
                <w:u w:val="none"/>
                <w:lang w:val="en-US" w:eastAsia="zh-CN" w:bidi="ar"/>
              </w:rPr>
              <w:t>方下街道办事处</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 xml:space="preserve">168 </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179</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牛泉镇</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 xml:space="preserve">177 </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226</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口镇街道办事处</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 xml:space="preserve">233 </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226</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雪野街道办事处</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 xml:space="preserve">150 </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181</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茶业口镇</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 xml:space="preserve">93 </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127</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张家洼街道办事处</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 xml:space="preserve">343 </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274</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苗山镇</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 xml:space="preserve">132 </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167</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和庄镇</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 xml:space="preserve">72 </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85</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2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3492</w:t>
            </w:r>
          </w:p>
        </w:tc>
        <w:tc>
          <w:tcPr>
            <w:tcW w:w="1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3492</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sz w:val="24"/>
              </w:rP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13335</wp:posOffset>
                      </wp:positionV>
                      <wp:extent cx="1476375" cy="705485"/>
                      <wp:effectExtent l="1905" t="4445" r="7620" b="13970"/>
                      <wp:wrapNone/>
                      <wp:docPr id="3" name="直线 4"/>
                      <wp:cNvGraphicFramePr/>
                      <a:graphic xmlns:a="http://schemas.openxmlformats.org/drawingml/2006/main">
                        <a:graphicData uri="http://schemas.microsoft.com/office/word/2010/wordprocessingShape">
                          <wps:wsp>
                            <wps:cNvSpPr/>
                            <wps:spPr>
                              <a:xfrm>
                                <a:off x="0" y="0"/>
                                <a:ext cx="1476375" cy="7054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4.65pt;margin-top:1.05pt;height:55.55pt;width:116.25pt;z-index:251661312;mso-width-relative:page;mso-height-relative:page;" filled="f" stroked="t" coordsize="21600,21600" o:gfxdata="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X1H4O&#10;1QAAAAgBAAAPAAAAAAAAAAEAIAAAACIAAABkcnMvZG93bnJldi54bWxQSwECFAAUAAAACACHTuJA&#10;CIChtOsBAADgAwAADgAAAAAAAAABACAAAAAkAQAAZHJzL2Uyb0RvYy54bWxQSwUGAAAAAAYABgBZ&#10;AQAAgQUAAAAA&#10;">
                      <v:fill on="f" focussize="0,0"/>
                      <v:stroke color="#000000" joinstyle="round"/>
                      <v:imagedata o:title=""/>
                      <o:lock v:ext="edit" aspectratio="f"/>
                    </v:line>
                  </w:pict>
                </mc:Fallback>
              </mc:AlternateContent>
            </w:r>
          </w:p>
        </w:tc>
      </w:tr>
    </w:tbl>
    <w:p>
      <w:pPr>
        <w:spacing w:line="360" w:lineRule="auto"/>
        <w:rPr>
          <w:rFonts w:hint="eastAsia" w:ascii="仿宋_GB2312" w:eastAsia="仿宋_GB2312"/>
          <w:color w:val="auto"/>
          <w:sz w:val="32"/>
        </w:rPr>
      </w:pPr>
    </w:p>
    <w:p>
      <w:pPr>
        <w:spacing w:line="240" w:lineRule="auto"/>
        <w:rPr>
          <w:rStyle w:val="13"/>
          <w:rFonts w:hint="eastAsia" w:ascii="黑体" w:hAnsi="黑体" w:eastAsia="黑体"/>
          <w:color w:val="auto"/>
          <w:sz w:val="32"/>
          <w:lang w:eastAsia="zh-CN"/>
        </w:rPr>
      </w:pPr>
      <w:r>
        <w:rPr>
          <w:rStyle w:val="13"/>
          <w:rFonts w:ascii="黑体" w:hAnsi="黑体" w:eastAsia="黑体"/>
          <w:color w:val="auto"/>
          <w:sz w:val="32"/>
        </w:rPr>
        <w:t>附件</w:t>
      </w:r>
      <w:r>
        <w:rPr>
          <w:rStyle w:val="13"/>
          <w:rFonts w:hint="eastAsia" w:ascii="黑体" w:hAnsi="黑体" w:eastAsia="黑体"/>
          <w:color w:val="auto"/>
          <w:sz w:val="32"/>
          <w:lang w:val="en-US" w:eastAsia="zh-CN"/>
        </w:rPr>
        <w:t>2</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莱城</w:t>
      </w:r>
      <w:r>
        <w:rPr>
          <w:rFonts w:hint="eastAsia" w:ascii="方正小标宋简体" w:hAnsi="方正小标宋简体" w:eastAsia="方正小标宋简体" w:cs="方正小标宋简体"/>
          <w:sz w:val="36"/>
          <w:szCs w:val="36"/>
        </w:rPr>
        <w:t>区烟草专卖局</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烟草制品零售点合理布局经营场所勘验测量标准</w:t>
      </w:r>
    </w:p>
    <w:p>
      <w:pPr>
        <w:spacing w:line="240" w:lineRule="auto"/>
        <w:jc w:val="center"/>
        <w:rPr>
          <w:color w:val="auto"/>
        </w:rPr>
      </w:pPr>
    </w:p>
    <w:p>
      <w:pPr>
        <w:spacing w:line="360" w:lineRule="auto"/>
        <w:jc w:val="left"/>
        <w:rPr>
          <w:rFonts w:hint="eastAsia" w:ascii="仿宋_GB2312" w:hAnsi="仿宋_GB2312" w:eastAsia="仿宋_GB2312" w:cs="仿宋_GB2312"/>
          <w:color w:val="auto"/>
          <w:sz w:val="32"/>
          <w:szCs w:val="32"/>
        </w:rPr>
      </w:pPr>
    </w:p>
    <w:p>
      <w:pPr>
        <w:spacing w:line="360" w:lineRule="auto"/>
        <w:ind w:firstLine="640" w:firstLineChars="200"/>
        <w:jc w:val="left"/>
        <w:rPr>
          <w:rFonts w:hint="eastAsia" w:ascii="仿宋_GB2312" w:hAnsi="仿宋_GB2312" w:eastAsia="仿宋_GB2312" w:cs="仿宋_GB2312"/>
          <w:color w:val="auto"/>
          <w:sz w:val="32"/>
          <w:szCs w:val="32"/>
        </w:rPr>
      </w:pPr>
      <w:r>
        <w:rPr>
          <w:rStyle w:val="13"/>
          <w:rFonts w:hint="eastAsia" w:ascii="仿宋_GB2312" w:hAnsi="仿宋_GB2312" w:eastAsia="仿宋_GB2312" w:cs="仿宋_GB2312"/>
          <w:color w:val="auto"/>
          <w:kern w:val="0"/>
          <w:sz w:val="32"/>
          <w:szCs w:val="32"/>
        </w:rPr>
        <w:t>第一条</w:t>
      </w:r>
      <w:r>
        <w:rPr>
          <w:rFonts w:hint="eastAsia" w:ascii="仿宋_GB2312" w:hAnsi="仿宋_GB2312" w:eastAsia="仿宋_GB2312" w:cs="仿宋_GB2312"/>
          <w:color w:val="auto"/>
          <w:sz w:val="32"/>
          <w:szCs w:val="32"/>
        </w:rPr>
        <w:t xml:space="preserve"> 为统一测量标准，规范勘验实施，确保烟草制品零售点勘验公开、公平、公正，特制定本标准。 </w:t>
      </w:r>
    </w:p>
    <w:p>
      <w:pPr>
        <w:spacing w:line="360" w:lineRule="auto"/>
        <w:ind w:firstLine="640" w:firstLineChars="200"/>
        <w:jc w:val="left"/>
        <w:rPr>
          <w:rFonts w:hint="eastAsia" w:ascii="仿宋_GB2312" w:hAnsi="仿宋_GB2312" w:eastAsia="仿宋_GB2312" w:cs="仿宋_GB2312"/>
          <w:color w:val="auto"/>
          <w:sz w:val="32"/>
          <w:szCs w:val="32"/>
        </w:rPr>
      </w:pPr>
      <w:r>
        <w:rPr>
          <w:rStyle w:val="13"/>
          <w:rFonts w:hint="eastAsia" w:ascii="仿宋_GB2312" w:hAnsi="仿宋_GB2312" w:eastAsia="仿宋_GB2312" w:cs="仿宋_GB2312"/>
          <w:color w:val="auto"/>
          <w:kern w:val="0"/>
          <w:sz w:val="32"/>
          <w:szCs w:val="32"/>
        </w:rPr>
        <w:t>第二条</w:t>
      </w:r>
      <w:r>
        <w:rPr>
          <w:rFonts w:hint="eastAsia" w:ascii="仿宋_GB2312" w:hAnsi="仿宋_GB2312" w:eastAsia="仿宋_GB2312" w:cs="仿宋_GB2312"/>
          <w:color w:val="auto"/>
          <w:sz w:val="32"/>
          <w:szCs w:val="32"/>
        </w:rPr>
        <w:t xml:space="preserve"> 本标准适用于</w:t>
      </w:r>
      <w:r>
        <w:rPr>
          <w:rFonts w:hint="eastAsia" w:ascii="仿宋_GB2312" w:hAnsi="仿宋_GB2312" w:eastAsia="仿宋_GB2312" w:cs="仿宋_GB2312"/>
          <w:color w:val="auto"/>
          <w:sz w:val="32"/>
          <w:szCs w:val="32"/>
          <w:lang w:val="en-US" w:eastAsia="zh-CN"/>
        </w:rPr>
        <w:t>莱城</w:t>
      </w:r>
      <w:r>
        <w:rPr>
          <w:rFonts w:hint="eastAsia" w:ascii="仿宋_GB2312" w:hAnsi="仿宋_GB2312" w:eastAsia="仿宋_GB2312" w:cs="仿宋_GB2312"/>
          <w:color w:val="auto"/>
          <w:sz w:val="32"/>
          <w:szCs w:val="32"/>
        </w:rPr>
        <w:t xml:space="preserve">区烟草专卖局管辖区域内设置烟草制品零售点（以下简称零售点）间隔距离、营业面积的测量以及相关事项的勘验认定。 </w:t>
      </w:r>
    </w:p>
    <w:p>
      <w:pPr>
        <w:spacing w:line="36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第三条 间隔距离应测量申请零售点（以下简称申请点）与参照点（包括周边最近的零售点和周边中小学校学生通勤出入口）之间可通行最短距离。 </w:t>
      </w:r>
    </w:p>
    <w:p>
      <w:pPr>
        <w:spacing w:line="36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第四条 间隔距离按照进出经营场所通道（含对外经营窗口）所在面外墙墙体或墙角的可通行最短距离测量。具体方法如下： </w:t>
      </w:r>
    </w:p>
    <w:p>
      <w:pPr>
        <w:spacing w:line="36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（一）测量端点确定标准 </w:t>
      </w:r>
    </w:p>
    <w:p>
      <w:pPr>
        <w:spacing w:line="360" w:lineRule="auto"/>
        <w:ind w:firstLine="640" w:firstLineChars="200"/>
        <w:jc w:val="left"/>
        <w:rPr>
          <w:rStyle w:val="13"/>
          <w:rFonts w:ascii="仿宋_GB2312" w:eastAsia="仿宋_GB2312"/>
          <w:color w:val="auto"/>
          <w:sz w:val="32"/>
          <w:szCs w:val="32"/>
        </w:rPr>
      </w:pPr>
      <w:r>
        <w:rPr>
          <w:rFonts w:hint="eastAsia" w:ascii="仿宋_GB2312" w:hAnsi="仿宋_GB2312" w:eastAsia="仿宋_GB2312" w:cs="仿宋_GB2312"/>
          <w:color w:val="auto"/>
          <w:sz w:val="32"/>
          <w:szCs w:val="32"/>
        </w:rPr>
        <w:t>1.进出经营场所通道只有一个的（下图所示）。</w:t>
      </w:r>
    </w:p>
    <w:p>
      <w:pPr>
        <w:spacing w:line="240" w:lineRule="auto"/>
        <w:ind w:left="654" w:right="-20"/>
        <w:rPr>
          <w:rFonts w:eastAsia="宋体"/>
          <w:color w:val="auto"/>
          <w:sz w:val="20"/>
          <w:szCs w:val="20"/>
        </w:rPr>
      </w:pPr>
      <w:r>
        <w:rPr>
          <w:color w:val="auto"/>
        </w:rPr>
        <w:drawing>
          <wp:inline distT="0" distB="0" distL="114300" distR="114300">
            <wp:extent cx="4875530" cy="1546225"/>
            <wp:effectExtent l="0" t="0" r="0" b="15875"/>
            <wp:docPr id="5" name="图片 1" descr="C:\Users\dell\Desktop\新建文件夹\图片01.png图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dell\Desktop\新建文件夹\图片01.png图片01"/>
                    <pic:cNvPicPr>
                      <a:picLocks noChangeAspect="1"/>
                    </pic:cNvPicPr>
                  </pic:nvPicPr>
                  <pic:blipFill>
                    <a:blip r:embed="rId12"/>
                    <a:stretch>
                      <a:fillRect/>
                    </a:stretch>
                  </pic:blipFill>
                  <pic:spPr>
                    <a:xfrm>
                      <a:off x="0" y="0"/>
                      <a:ext cx="4875530" cy="1546225"/>
                    </a:xfrm>
                    <a:prstGeom prst="rect">
                      <a:avLst/>
                    </a:prstGeom>
                    <a:noFill/>
                    <a:ln>
                      <a:noFill/>
                    </a:ln>
                  </pic:spPr>
                </pic:pic>
              </a:graphicData>
            </a:graphic>
          </wp:inline>
        </w:drawing>
      </w:r>
    </w:p>
    <w:p>
      <w:pPr>
        <w:spacing w:line="240" w:lineRule="auto"/>
        <w:ind w:left="653" w:leftChars="311" w:right="-20" w:firstLine="2400" w:firstLineChars="1200"/>
        <w:rPr>
          <w:rFonts w:eastAsia="宋体"/>
          <w:color w:val="auto"/>
          <w:sz w:val="20"/>
          <w:szCs w:val="20"/>
        </w:rPr>
      </w:pPr>
      <w:r>
        <w:rPr>
          <w:rFonts w:hint="eastAsia" w:eastAsia="宋体"/>
          <w:color w:val="auto"/>
          <w:sz w:val="20"/>
          <w:szCs w:val="20"/>
        </w:rPr>
        <w:t>测量距离为F1至A1+E2距离</w:t>
      </w:r>
    </w:p>
    <w:p>
      <w:pPr>
        <w:spacing w:before="7" w:line="240" w:lineRule="auto"/>
        <w:rPr>
          <w:color w:val="auto"/>
          <w:sz w:val="13"/>
          <w:szCs w:val="13"/>
        </w:rPr>
      </w:pPr>
    </w:p>
    <w:p>
      <w:pPr>
        <w:spacing w:line="240" w:lineRule="auto"/>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.进出经营场所通道有多个的（下图所示）。</w:t>
      </w:r>
    </w:p>
    <w:p>
      <w:pPr>
        <w:spacing w:before="6" w:line="240" w:lineRule="auto"/>
        <w:rPr>
          <w:rFonts w:ascii="仿宋_GB2312" w:eastAsia="仿宋_GB2312"/>
          <w:color w:val="auto"/>
          <w:sz w:val="32"/>
          <w:szCs w:val="32"/>
        </w:rPr>
      </w:pPr>
    </w:p>
    <w:p>
      <w:pPr>
        <w:spacing w:line="240" w:lineRule="auto"/>
        <w:ind w:left="512" w:right="-20"/>
        <w:rPr>
          <w:rFonts w:ascii="仿宋_GB2312" w:eastAsia="仿宋_GB2312"/>
          <w:color w:val="auto"/>
          <w:sz w:val="32"/>
          <w:szCs w:val="32"/>
        </w:rPr>
      </w:pPr>
      <w:r>
        <w:rPr>
          <w:rFonts w:ascii="仿宋_GB2312" w:eastAsia="仿宋_GB2312"/>
          <w:color w:val="auto"/>
          <w:sz w:val="32"/>
          <w:szCs w:val="32"/>
        </w:rPr>
        <w:drawing>
          <wp:inline distT="0" distB="0" distL="114300" distR="114300">
            <wp:extent cx="4875530" cy="1483995"/>
            <wp:effectExtent l="0" t="0" r="0" b="1905"/>
            <wp:docPr id="6" name="图片 6" descr="C:\Users\dell\Desktop\新建文件夹\图片02.png图片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dell\Desktop\新建文件夹\图片02.png图片02"/>
                    <pic:cNvPicPr>
                      <a:picLocks noChangeAspect="1"/>
                    </pic:cNvPicPr>
                  </pic:nvPicPr>
                  <pic:blipFill>
                    <a:blip r:embed="rId13"/>
                    <a:stretch>
                      <a:fillRect/>
                    </a:stretch>
                  </pic:blipFill>
                  <pic:spPr>
                    <a:xfrm>
                      <a:off x="0" y="0"/>
                      <a:ext cx="4875530" cy="1483995"/>
                    </a:xfrm>
                    <a:prstGeom prst="rect">
                      <a:avLst/>
                    </a:prstGeom>
                    <a:noFill/>
                    <a:ln>
                      <a:noFill/>
                    </a:ln>
                  </pic:spPr>
                </pic:pic>
              </a:graphicData>
            </a:graphic>
          </wp:inline>
        </w:drawing>
      </w:r>
    </w:p>
    <w:p>
      <w:pPr>
        <w:spacing w:line="240" w:lineRule="auto"/>
        <w:ind w:left="653" w:leftChars="311" w:right="-20" w:firstLine="2400" w:firstLineChars="1200"/>
        <w:rPr>
          <w:rFonts w:eastAsia="宋体"/>
          <w:color w:val="auto"/>
          <w:sz w:val="20"/>
          <w:szCs w:val="20"/>
        </w:rPr>
      </w:pPr>
      <w:r>
        <w:rPr>
          <w:rFonts w:hint="eastAsia" w:eastAsia="宋体"/>
          <w:color w:val="auto"/>
          <w:sz w:val="20"/>
          <w:szCs w:val="20"/>
        </w:rPr>
        <w:t>测量距离为F1至E2距离</w:t>
      </w:r>
    </w:p>
    <w:p>
      <w:pPr>
        <w:spacing w:line="360" w:lineRule="auto"/>
        <w:ind w:firstLine="640" w:firstLineChars="200"/>
        <w:jc w:val="left"/>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.如申请点或参照点与其他店面共用墙面时，取相应墙体中心点为端点。</w:t>
      </w:r>
    </w:p>
    <w:p>
      <w:pPr>
        <w:spacing w:before="23" w:line="360" w:lineRule="auto"/>
        <w:ind w:left="733" w:right="-20"/>
        <w:rPr>
          <w:rFonts w:ascii="仿宋_GB2312" w:eastAsia="仿宋_GB2312"/>
          <w:color w:val="auto"/>
          <w:sz w:val="32"/>
          <w:szCs w:val="32"/>
        </w:rPr>
      </w:pPr>
      <w:r>
        <w:rPr>
          <w:rFonts w:hint="eastAsia" w:ascii="楷体_GB2312" w:eastAsia="楷体_GB2312"/>
          <w:color w:val="auto"/>
          <w:sz w:val="32"/>
          <w:szCs w:val="32"/>
        </w:rPr>
        <w:t>（二）测量线路的确定标准</w:t>
      </w:r>
    </w:p>
    <w:p>
      <w:pPr>
        <w:spacing w:line="360"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1.非道路区域间距测量以最短直线距离为准。例图：</w:t>
      </w:r>
    </w:p>
    <w:p>
      <w:pPr>
        <w:spacing w:before="3" w:line="240" w:lineRule="auto"/>
        <w:rPr>
          <w:rFonts w:ascii="仿宋_GB2312" w:eastAsia="仿宋_GB2312"/>
          <w:color w:val="auto"/>
          <w:sz w:val="32"/>
          <w:szCs w:val="32"/>
        </w:rPr>
      </w:pPr>
    </w:p>
    <w:p>
      <w:pPr>
        <w:spacing w:line="240" w:lineRule="auto"/>
        <w:ind w:left="512" w:right="-20"/>
        <w:rPr>
          <w:rFonts w:eastAsia="宋体"/>
          <w:color w:val="auto"/>
          <w:sz w:val="20"/>
          <w:szCs w:val="20"/>
        </w:rPr>
      </w:pPr>
      <w:r>
        <w:rPr>
          <w:color w:val="auto"/>
        </w:rPr>
        <w:drawing>
          <wp:inline distT="0" distB="0" distL="114300" distR="114300">
            <wp:extent cx="4875530" cy="1371600"/>
            <wp:effectExtent l="0" t="0" r="0" b="0"/>
            <wp:docPr id="7" name="图片 7" descr="C:\Users\dell\Desktop\新建文件夹\图片03.png图片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dell\Desktop\新建文件夹\图片03.png图片03"/>
                    <pic:cNvPicPr>
                      <a:picLocks noChangeAspect="1"/>
                    </pic:cNvPicPr>
                  </pic:nvPicPr>
                  <pic:blipFill>
                    <a:blip r:embed="rId14"/>
                    <a:stretch>
                      <a:fillRect/>
                    </a:stretch>
                  </pic:blipFill>
                  <pic:spPr>
                    <a:xfrm>
                      <a:off x="0" y="0"/>
                      <a:ext cx="4875530" cy="1371600"/>
                    </a:xfrm>
                    <a:prstGeom prst="rect">
                      <a:avLst/>
                    </a:prstGeom>
                    <a:noFill/>
                    <a:ln>
                      <a:noFill/>
                    </a:ln>
                  </pic:spPr>
                </pic:pic>
              </a:graphicData>
            </a:graphic>
          </wp:inline>
        </w:drawing>
      </w:r>
    </w:p>
    <w:p>
      <w:pPr>
        <w:spacing w:line="240" w:lineRule="auto"/>
        <w:ind w:left="512" w:right="-20"/>
        <w:rPr>
          <w:rFonts w:eastAsia="宋体"/>
          <w:color w:val="auto"/>
          <w:sz w:val="20"/>
          <w:szCs w:val="20"/>
        </w:rPr>
      </w:pPr>
      <w:r>
        <w:rPr>
          <w:rFonts w:hint="eastAsia" w:eastAsia="宋体"/>
          <w:color w:val="auto"/>
          <w:sz w:val="20"/>
          <w:szCs w:val="20"/>
        </w:rPr>
        <w:t>测量距离为F1至A1+A1至B2+B2至E2距离</w:t>
      </w:r>
    </w:p>
    <w:p>
      <w:pPr>
        <w:spacing w:line="240" w:lineRule="auto"/>
        <w:ind w:left="512" w:right="-20"/>
        <w:rPr>
          <w:rFonts w:eastAsia="宋体"/>
          <w:color w:val="auto"/>
          <w:sz w:val="20"/>
          <w:szCs w:val="20"/>
        </w:rPr>
      </w:pPr>
    </w:p>
    <w:p>
      <w:pPr>
        <w:spacing w:line="240" w:lineRule="auto"/>
        <w:ind w:right="-20"/>
        <w:rPr>
          <w:rFonts w:eastAsia="宋体"/>
          <w:color w:val="auto"/>
          <w:sz w:val="20"/>
          <w:szCs w:val="20"/>
        </w:rPr>
      </w:pPr>
    </w:p>
    <w:p>
      <w:pPr>
        <w:spacing w:line="240" w:lineRule="auto"/>
        <w:ind w:left="512" w:right="-20"/>
        <w:rPr>
          <w:rFonts w:eastAsia="宋体"/>
          <w:color w:val="auto"/>
          <w:sz w:val="20"/>
          <w:szCs w:val="20"/>
        </w:rPr>
      </w:pPr>
    </w:p>
    <w:p>
      <w:pPr>
        <w:spacing w:line="240" w:lineRule="auto"/>
        <w:ind w:left="512" w:right="-20"/>
        <w:rPr>
          <w:rFonts w:eastAsia="宋体"/>
          <w:color w:val="auto"/>
          <w:sz w:val="20"/>
          <w:szCs w:val="20"/>
        </w:rPr>
      </w:pPr>
      <w:r>
        <w:rPr>
          <w:color w:val="auto"/>
        </w:rPr>
        <w:drawing>
          <wp:inline distT="0" distB="0" distL="114300" distR="114300">
            <wp:extent cx="5461635" cy="2115820"/>
            <wp:effectExtent l="0" t="0" r="0" b="17780"/>
            <wp:docPr id="8" name="图片 8" descr="C:\Users\dell\Desktop\新建文件夹\图片04.png图片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dell\Desktop\新建文件夹\图片04.png图片04"/>
                    <pic:cNvPicPr>
                      <a:picLocks noChangeAspect="1"/>
                    </pic:cNvPicPr>
                  </pic:nvPicPr>
                  <pic:blipFill>
                    <a:blip r:embed="rId15"/>
                    <a:stretch>
                      <a:fillRect/>
                    </a:stretch>
                  </pic:blipFill>
                  <pic:spPr>
                    <a:xfrm>
                      <a:off x="0" y="0"/>
                      <a:ext cx="5461635" cy="2115820"/>
                    </a:xfrm>
                    <a:prstGeom prst="rect">
                      <a:avLst/>
                    </a:prstGeom>
                    <a:noFill/>
                    <a:ln>
                      <a:noFill/>
                    </a:ln>
                  </pic:spPr>
                </pic:pic>
              </a:graphicData>
            </a:graphic>
          </wp:inline>
        </w:drawing>
      </w:r>
    </w:p>
    <w:p>
      <w:pPr>
        <w:spacing w:line="240" w:lineRule="auto"/>
        <w:ind w:left="512" w:right="-20"/>
        <w:rPr>
          <w:rFonts w:eastAsia="宋体"/>
          <w:color w:val="auto"/>
          <w:sz w:val="20"/>
          <w:szCs w:val="20"/>
        </w:rPr>
      </w:pPr>
    </w:p>
    <w:p>
      <w:pPr>
        <w:spacing w:line="240" w:lineRule="auto"/>
        <w:ind w:left="512" w:right="-20"/>
        <w:jc w:val="center"/>
        <w:rPr>
          <w:rFonts w:eastAsia="宋体"/>
          <w:color w:val="auto"/>
          <w:sz w:val="20"/>
          <w:szCs w:val="20"/>
        </w:rPr>
        <w:sectPr>
          <w:footerReference r:id="rId3" w:type="default"/>
          <w:footerReference r:id="rId4" w:type="even"/>
          <w:pgSz w:w="11920" w:h="16840"/>
          <w:pgMar w:top="1440" w:right="1800" w:bottom="1440" w:left="1800" w:header="720" w:footer="720" w:gutter="0"/>
          <w:cols w:space="720" w:num="1"/>
          <w:docGrid w:linePitch="286" w:charSpace="0"/>
        </w:sectPr>
      </w:pPr>
      <w:r>
        <w:rPr>
          <w:rFonts w:hint="eastAsia" w:eastAsia="宋体"/>
          <w:color w:val="auto"/>
          <w:sz w:val="20"/>
          <w:szCs w:val="20"/>
        </w:rPr>
        <w:t>测量距离为F1至B1+B1至E2距离</w:t>
      </w:r>
    </w:p>
    <w:p>
      <w:pPr>
        <w:spacing w:line="360"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2.道路区域间距测量以可通行最短直线距离为准。</w:t>
      </w:r>
    </w:p>
    <w:p>
      <w:pPr>
        <w:spacing w:line="360"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（1）申请点与参照点分布在道路两侧，道路上存在阻碍通行的固定障碍物(花坛、围墙、防护栏、隔离栏等)，如下图：</w:t>
      </w:r>
    </w:p>
    <w:p>
      <w:pPr>
        <w:spacing w:line="240" w:lineRule="auto"/>
        <w:ind w:left="512" w:right="-20"/>
        <w:rPr>
          <w:rFonts w:eastAsia="宋体"/>
          <w:color w:val="auto"/>
          <w:sz w:val="20"/>
          <w:szCs w:val="20"/>
        </w:rPr>
      </w:pPr>
      <w:r>
        <w:rPr>
          <w:color w:val="auto"/>
        </w:rPr>
        <w:drawing>
          <wp:inline distT="0" distB="0" distL="114300" distR="114300">
            <wp:extent cx="5071110" cy="3109595"/>
            <wp:effectExtent l="0" t="0" r="0" b="0"/>
            <wp:docPr id="9" name="图片 9" descr="C:\Users\dell\Desktop\新建文件夹\图片05.png图片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dell\Desktop\新建文件夹\图片05.png图片05"/>
                    <pic:cNvPicPr>
                      <a:picLocks noChangeAspect="1"/>
                    </pic:cNvPicPr>
                  </pic:nvPicPr>
                  <pic:blipFill>
                    <a:blip r:embed="rId16"/>
                    <a:stretch>
                      <a:fillRect/>
                    </a:stretch>
                  </pic:blipFill>
                  <pic:spPr>
                    <a:xfrm>
                      <a:off x="0" y="0"/>
                      <a:ext cx="5071110" cy="3109595"/>
                    </a:xfrm>
                    <a:prstGeom prst="rect">
                      <a:avLst/>
                    </a:prstGeom>
                    <a:noFill/>
                    <a:ln>
                      <a:noFill/>
                    </a:ln>
                  </pic:spPr>
                </pic:pic>
              </a:graphicData>
            </a:graphic>
          </wp:inline>
        </w:drawing>
      </w:r>
    </w:p>
    <w:p>
      <w:pPr>
        <w:spacing w:line="240" w:lineRule="auto"/>
        <w:ind w:left="512" w:right="-20"/>
        <w:jc w:val="center"/>
        <w:rPr>
          <w:rFonts w:eastAsia="宋体"/>
          <w:color w:val="auto"/>
          <w:sz w:val="20"/>
          <w:szCs w:val="20"/>
        </w:rPr>
      </w:pPr>
      <w:r>
        <w:rPr>
          <w:rFonts w:hint="eastAsia" w:eastAsia="宋体"/>
          <w:color w:val="auto"/>
          <w:sz w:val="20"/>
          <w:szCs w:val="20"/>
        </w:rPr>
        <w:t>测量距离为F1至D2+D2至F2距离</w:t>
      </w:r>
    </w:p>
    <w:p>
      <w:pPr>
        <w:spacing w:line="240" w:lineRule="auto"/>
        <w:ind w:firstLine="400" w:firstLineChars="200"/>
        <w:jc w:val="left"/>
        <w:rPr>
          <w:rFonts w:ascii="仿宋_GB2312" w:eastAsia="仿宋_GB2312"/>
          <w:color w:val="auto"/>
          <w:sz w:val="32"/>
          <w:szCs w:val="32"/>
        </w:rPr>
      </w:pPr>
      <w:r>
        <w:rPr>
          <w:rFonts w:hint="eastAsia"/>
          <w:color w:val="auto"/>
          <w:sz w:val="20"/>
          <w:szCs w:val="20"/>
        </w:rPr>
        <w:drawing>
          <wp:anchor distT="0" distB="0" distL="114300" distR="114300" simplePos="0" relativeHeight="251660288" behindDoc="0" locked="0" layoutInCell="1" allowOverlap="1">
            <wp:simplePos x="0" y="0"/>
            <wp:positionH relativeFrom="column">
              <wp:posOffset>572770</wp:posOffset>
            </wp:positionH>
            <wp:positionV relativeFrom="paragraph">
              <wp:posOffset>649605</wp:posOffset>
            </wp:positionV>
            <wp:extent cx="3929380" cy="2782570"/>
            <wp:effectExtent l="0" t="0" r="0" b="0"/>
            <wp:wrapNone/>
            <wp:docPr id="2" name="图片 10" descr="C:\Users\dell\Desktop\新建文件夹\图片06.png图片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C:\Users\dell\Desktop\新建文件夹\图片06.png图片06"/>
                    <pic:cNvPicPr>
                      <a:picLocks noChangeAspect="1"/>
                    </pic:cNvPicPr>
                  </pic:nvPicPr>
                  <pic:blipFill>
                    <a:blip r:embed="rId17"/>
                    <a:stretch>
                      <a:fillRect/>
                    </a:stretch>
                  </pic:blipFill>
                  <pic:spPr>
                    <a:xfrm>
                      <a:off x="0" y="0"/>
                      <a:ext cx="3929380" cy="2782570"/>
                    </a:xfrm>
                    <a:prstGeom prst="rect">
                      <a:avLst/>
                    </a:prstGeom>
                    <a:noFill/>
                    <a:ln>
                      <a:noFill/>
                    </a:ln>
                  </pic:spPr>
                </pic:pic>
              </a:graphicData>
            </a:graphic>
          </wp:anchor>
        </w:drawing>
      </w:r>
      <w:r>
        <w:rPr>
          <w:rFonts w:hint="eastAsia" w:ascii="仿宋_GB2312" w:eastAsia="仿宋_GB2312"/>
          <w:color w:val="auto"/>
          <w:sz w:val="32"/>
          <w:szCs w:val="32"/>
        </w:rPr>
        <w:t>（2）申请点与参照点分布在道路两侧，道路无固定障碍物， 如下图：</w:t>
      </w: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jc w:val="center"/>
        <w:rPr>
          <w:rFonts w:eastAsia="宋体"/>
          <w:color w:val="auto"/>
          <w:sz w:val="20"/>
          <w:szCs w:val="20"/>
        </w:rPr>
      </w:pPr>
    </w:p>
    <w:p>
      <w:pPr>
        <w:spacing w:line="240" w:lineRule="auto"/>
        <w:jc w:val="center"/>
        <w:rPr>
          <w:color w:val="auto"/>
          <w:sz w:val="20"/>
          <w:szCs w:val="20"/>
        </w:rPr>
      </w:pPr>
      <w:r>
        <w:rPr>
          <w:rFonts w:hint="eastAsia" w:eastAsia="宋体"/>
          <w:color w:val="auto"/>
          <w:sz w:val="20"/>
          <w:szCs w:val="20"/>
        </w:rPr>
        <w:t>测量距离为F1至F2距离</w:t>
      </w:r>
    </w:p>
    <w:p>
      <w:pPr>
        <w:spacing w:line="240" w:lineRule="auto"/>
        <w:rPr>
          <w:color w:val="auto"/>
          <w:sz w:val="20"/>
          <w:szCs w:val="20"/>
        </w:rPr>
      </w:pPr>
      <w:r>
        <w:rPr>
          <w:rFonts w:hint="eastAsia"/>
          <w:color w:val="auto"/>
          <w:sz w:val="20"/>
          <w:szCs w:val="20"/>
        </w:rPr>
        <w:drawing>
          <wp:anchor distT="0" distB="0" distL="114300" distR="114300" simplePos="0" relativeHeight="251662336" behindDoc="0" locked="0" layoutInCell="1" allowOverlap="1">
            <wp:simplePos x="0" y="0"/>
            <wp:positionH relativeFrom="column">
              <wp:posOffset>461645</wp:posOffset>
            </wp:positionH>
            <wp:positionV relativeFrom="paragraph">
              <wp:posOffset>-581660</wp:posOffset>
            </wp:positionV>
            <wp:extent cx="4424680" cy="3561715"/>
            <wp:effectExtent l="0" t="0" r="0" b="0"/>
            <wp:wrapNone/>
            <wp:docPr id="4" name="图片 11" descr="C:\Users\dell\Desktop\新建文件夹\图片08.png图片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C:\Users\dell\Desktop\新建文件夹\图片08.png图片08"/>
                    <pic:cNvPicPr>
                      <a:picLocks noChangeAspect="1"/>
                    </pic:cNvPicPr>
                  </pic:nvPicPr>
                  <pic:blipFill>
                    <a:blip r:embed="rId18"/>
                    <a:stretch>
                      <a:fillRect/>
                    </a:stretch>
                  </pic:blipFill>
                  <pic:spPr>
                    <a:xfrm>
                      <a:off x="0" y="0"/>
                      <a:ext cx="4424680" cy="3561715"/>
                    </a:xfrm>
                    <a:prstGeom prst="rect">
                      <a:avLst/>
                    </a:prstGeom>
                    <a:noFill/>
                    <a:ln>
                      <a:noFill/>
                    </a:ln>
                  </pic:spPr>
                </pic:pic>
              </a:graphicData>
            </a:graphic>
          </wp:anchor>
        </w:drawing>
      </w: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rPr>
          <w:color w:val="auto"/>
          <w:sz w:val="20"/>
          <w:szCs w:val="20"/>
        </w:rPr>
      </w:pPr>
    </w:p>
    <w:p>
      <w:pPr>
        <w:spacing w:line="240" w:lineRule="auto"/>
        <w:jc w:val="center"/>
        <w:rPr>
          <w:color w:val="auto"/>
          <w:sz w:val="20"/>
          <w:szCs w:val="20"/>
        </w:rPr>
      </w:pPr>
      <w:r>
        <w:rPr>
          <w:rFonts w:hint="eastAsia"/>
          <w:color w:val="auto"/>
          <w:sz w:val="20"/>
          <w:szCs w:val="20"/>
        </w:rPr>
        <w:t>测量距离为F1至F2距离</w:t>
      </w:r>
    </w:p>
    <w:p>
      <w:pPr>
        <w:spacing w:line="240" w:lineRule="auto"/>
        <w:rPr>
          <w:color w:val="auto"/>
          <w:sz w:val="20"/>
          <w:szCs w:val="20"/>
        </w:rPr>
      </w:pPr>
    </w:p>
    <w:p>
      <w:pPr>
        <w:spacing w:line="240" w:lineRule="auto"/>
        <w:ind w:left="512" w:right="-20"/>
        <w:rPr>
          <w:rFonts w:eastAsia="宋体"/>
          <w:color w:val="auto"/>
          <w:sz w:val="20"/>
          <w:szCs w:val="20"/>
        </w:rPr>
      </w:pPr>
      <w:r>
        <w:rPr>
          <w:color w:val="auto"/>
        </w:rPr>
        <w:drawing>
          <wp:inline distT="0" distB="0" distL="114300" distR="114300">
            <wp:extent cx="5461635" cy="2660015"/>
            <wp:effectExtent l="0" t="0" r="0" b="0"/>
            <wp:docPr id="10" name="图片 12" descr="C:\Users\dell\Desktop\新建文件夹\图片012.png图片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C:\Users\dell\Desktop\新建文件夹\图片012.png图片012"/>
                    <pic:cNvPicPr>
                      <a:picLocks noChangeAspect="1"/>
                    </pic:cNvPicPr>
                  </pic:nvPicPr>
                  <pic:blipFill>
                    <a:blip r:embed="rId19"/>
                    <a:stretch>
                      <a:fillRect/>
                    </a:stretch>
                  </pic:blipFill>
                  <pic:spPr>
                    <a:xfrm>
                      <a:off x="0" y="0"/>
                      <a:ext cx="5461635" cy="2660015"/>
                    </a:xfrm>
                    <a:prstGeom prst="rect">
                      <a:avLst/>
                    </a:prstGeom>
                    <a:noFill/>
                    <a:ln>
                      <a:noFill/>
                    </a:ln>
                  </pic:spPr>
                </pic:pic>
              </a:graphicData>
            </a:graphic>
          </wp:inline>
        </w:drawing>
      </w:r>
    </w:p>
    <w:p>
      <w:pPr>
        <w:spacing w:line="240" w:lineRule="auto"/>
        <w:ind w:left="512" w:right="-20"/>
        <w:jc w:val="center"/>
        <w:rPr>
          <w:rFonts w:ascii="仿宋_GB2312" w:eastAsia="仿宋_GB2312"/>
          <w:color w:val="auto"/>
          <w:sz w:val="32"/>
          <w:szCs w:val="32"/>
        </w:rPr>
      </w:pPr>
      <w:r>
        <w:rPr>
          <w:rFonts w:hint="eastAsia" w:eastAsia="宋体"/>
          <w:color w:val="auto"/>
          <w:sz w:val="20"/>
          <w:szCs w:val="20"/>
        </w:rPr>
        <w:t>测量距离为F1至D2+D2至F2距离</w:t>
      </w:r>
    </w:p>
    <w:p>
      <w:pPr>
        <w:spacing w:line="360"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w:t>
      </w:r>
      <w:r>
        <w:rPr>
          <w:rFonts w:ascii="仿宋_GB2312" w:eastAsia="仿宋_GB2312"/>
          <w:color w:val="auto"/>
          <w:sz w:val="32"/>
          <w:szCs w:val="32"/>
        </w:rPr>
        <w:t>3</w:t>
      </w:r>
      <w:r>
        <w:rPr>
          <w:rFonts w:hint="eastAsia" w:ascii="仿宋_GB2312" w:eastAsia="仿宋_GB2312"/>
          <w:color w:val="auto"/>
          <w:sz w:val="32"/>
          <w:szCs w:val="32"/>
        </w:rPr>
        <w:t>）申请点与参照点分布在道路两侧，道路有禁止穿越的交通标志（如双实线、单实线、护栏等）的，按照通过允许通行的交通标志或设施（如人行道、单虚线、人行天桥等）的最近通行距离测量，如下图：</w:t>
      </w:r>
    </w:p>
    <w:p>
      <w:pPr>
        <w:spacing w:line="240" w:lineRule="auto"/>
        <w:ind w:right="-20"/>
        <w:rPr>
          <w:rFonts w:eastAsia="Times New Roman"/>
          <w:color w:val="auto"/>
          <w:sz w:val="20"/>
          <w:szCs w:val="20"/>
        </w:rPr>
      </w:pPr>
      <w:r>
        <w:rPr>
          <w:color w:val="auto"/>
        </w:rPr>
        <w:drawing>
          <wp:inline distT="0" distB="0" distL="114300" distR="114300">
            <wp:extent cx="5261610" cy="3620135"/>
            <wp:effectExtent l="0" t="0" r="15875" b="0"/>
            <wp:docPr id="11" name="图片 13" descr="C:\Users\dell\Desktop\新建文件夹\图片013.png图片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C:\Users\dell\Desktop\新建文件夹\图片013.png图片013"/>
                    <pic:cNvPicPr>
                      <a:picLocks noChangeAspect="1"/>
                    </pic:cNvPicPr>
                  </pic:nvPicPr>
                  <pic:blipFill>
                    <a:blip r:embed="rId20"/>
                    <a:stretch>
                      <a:fillRect/>
                    </a:stretch>
                  </pic:blipFill>
                  <pic:spPr>
                    <a:xfrm>
                      <a:off x="0" y="0"/>
                      <a:ext cx="5261610" cy="3620135"/>
                    </a:xfrm>
                    <a:prstGeom prst="rect">
                      <a:avLst/>
                    </a:prstGeom>
                    <a:noFill/>
                    <a:ln>
                      <a:noFill/>
                    </a:ln>
                  </pic:spPr>
                </pic:pic>
              </a:graphicData>
            </a:graphic>
          </wp:inline>
        </w:drawing>
      </w:r>
    </w:p>
    <w:p>
      <w:pPr>
        <w:spacing w:line="240" w:lineRule="auto"/>
        <w:jc w:val="center"/>
        <w:rPr>
          <w:color w:val="auto"/>
          <w:sz w:val="20"/>
          <w:szCs w:val="20"/>
        </w:rPr>
      </w:pPr>
      <w:r>
        <w:rPr>
          <w:rFonts w:hint="eastAsia"/>
          <w:color w:val="auto"/>
          <w:sz w:val="20"/>
          <w:szCs w:val="20"/>
        </w:rPr>
        <w:t>测量距离为E1至A1+A1至D2+D2至F2距离</w:t>
      </w:r>
    </w:p>
    <w:p>
      <w:pPr>
        <w:spacing w:line="240" w:lineRule="auto"/>
        <w:ind w:left="512" w:right="-20"/>
        <w:rPr>
          <w:rFonts w:eastAsia="Times New Roman"/>
          <w:color w:val="auto"/>
          <w:sz w:val="20"/>
          <w:szCs w:val="20"/>
        </w:rPr>
      </w:pPr>
    </w:p>
    <w:p>
      <w:pPr>
        <w:spacing w:line="240" w:lineRule="auto"/>
        <w:ind w:left="111" w:right="-20"/>
        <w:rPr>
          <w:rFonts w:eastAsia="宋体"/>
          <w:color w:val="auto"/>
          <w:sz w:val="20"/>
          <w:szCs w:val="20"/>
        </w:rPr>
      </w:pPr>
      <w:r>
        <w:rPr>
          <w:color w:val="auto"/>
        </w:rPr>
        <w:drawing>
          <wp:inline distT="0" distB="0" distL="114300" distR="114300">
            <wp:extent cx="5461635" cy="3200400"/>
            <wp:effectExtent l="0" t="0" r="0" b="0"/>
            <wp:docPr id="12" name="图片 14" descr="C:\Users\dell\Desktop\新建文件夹\图片015.png图片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C:\Users\dell\Desktop\新建文件夹\图片015.png图片015"/>
                    <pic:cNvPicPr>
                      <a:picLocks noChangeAspect="1"/>
                    </pic:cNvPicPr>
                  </pic:nvPicPr>
                  <pic:blipFill>
                    <a:blip r:embed="rId21"/>
                    <a:stretch>
                      <a:fillRect/>
                    </a:stretch>
                  </pic:blipFill>
                  <pic:spPr>
                    <a:xfrm>
                      <a:off x="0" y="0"/>
                      <a:ext cx="5461635" cy="3200400"/>
                    </a:xfrm>
                    <a:prstGeom prst="rect">
                      <a:avLst/>
                    </a:prstGeom>
                    <a:noFill/>
                    <a:ln>
                      <a:noFill/>
                    </a:ln>
                  </pic:spPr>
                </pic:pic>
              </a:graphicData>
            </a:graphic>
          </wp:inline>
        </w:drawing>
      </w:r>
    </w:p>
    <w:p>
      <w:pPr>
        <w:spacing w:line="240" w:lineRule="auto"/>
        <w:jc w:val="center"/>
        <w:rPr>
          <w:color w:val="auto"/>
          <w:sz w:val="20"/>
          <w:szCs w:val="20"/>
        </w:rPr>
      </w:pPr>
      <w:r>
        <w:rPr>
          <w:rFonts w:hint="eastAsia"/>
          <w:color w:val="auto"/>
          <w:sz w:val="20"/>
          <w:szCs w:val="20"/>
        </w:rPr>
        <w:t>测量距离为E1至E2距离</w:t>
      </w:r>
    </w:p>
    <w:p>
      <w:pPr>
        <w:spacing w:line="240" w:lineRule="auto"/>
        <w:ind w:left="111" w:right="-20"/>
        <w:rPr>
          <w:rFonts w:eastAsia="宋体"/>
          <w:color w:val="auto"/>
          <w:sz w:val="20"/>
          <w:szCs w:val="20"/>
        </w:rPr>
      </w:pPr>
    </w:p>
    <w:p>
      <w:pPr>
        <w:spacing w:line="240" w:lineRule="auto"/>
        <w:ind w:left="111" w:leftChars="53" w:right="-20" w:firstLine="640" w:firstLineChars="200"/>
        <w:rPr>
          <w:rFonts w:hint="default" w:ascii="黑体" w:hAnsi="黑体" w:eastAsia="仿宋_GB2312"/>
          <w:color w:val="auto"/>
          <w:sz w:val="32"/>
          <w:szCs w:val="32"/>
          <w:lang w:val="en-US" w:eastAsia="zh-CN"/>
        </w:rPr>
      </w:pPr>
      <w:r>
        <w:rPr>
          <w:rFonts w:hint="eastAsia" w:ascii="黑体" w:hAnsi="黑体" w:eastAsia="黑体"/>
          <w:color w:val="auto"/>
          <w:sz w:val="32"/>
          <w:szCs w:val="32"/>
        </w:rPr>
        <w:t xml:space="preserve">第五条 </w:t>
      </w:r>
      <w:r>
        <w:rPr>
          <w:rStyle w:val="13"/>
          <w:rFonts w:hint="eastAsia" w:ascii="仿宋_GB2312" w:hAnsi="仿宋_GB2312" w:eastAsia="仿宋_GB2312"/>
          <w:color w:val="auto"/>
          <w:sz w:val="32"/>
          <w:szCs w:val="32"/>
          <w:lang w:val="zh-CN"/>
        </w:rPr>
        <w:t>申请点与</w:t>
      </w:r>
      <w:r>
        <w:rPr>
          <w:rStyle w:val="13"/>
          <w:rFonts w:ascii="仿宋_GB2312" w:hAnsi="仿宋_GB2312" w:eastAsia="仿宋_GB2312"/>
          <w:color w:val="auto"/>
          <w:sz w:val="32"/>
          <w:szCs w:val="32"/>
          <w:lang w:val="zh-CN"/>
        </w:rPr>
        <w:t>学校(普通中小学、中等职业学校、特殊教育学校、专门学校、幼儿园)</w:t>
      </w:r>
      <w:r>
        <w:rPr>
          <w:rStyle w:val="13"/>
          <w:rFonts w:hint="eastAsia" w:ascii="仿宋_GB2312" w:hAnsi="仿宋_GB2312" w:eastAsia="仿宋_GB2312"/>
          <w:color w:val="auto"/>
          <w:sz w:val="32"/>
          <w:szCs w:val="32"/>
          <w:lang w:val="zh-CN"/>
        </w:rPr>
        <w:t>间隔距离，</w:t>
      </w:r>
      <w:r>
        <w:rPr>
          <w:rFonts w:hint="eastAsia" w:ascii="仿宋_GB2312" w:hAnsi="Calibri" w:eastAsia="仿宋_GB2312"/>
          <w:color w:val="auto"/>
          <w:sz w:val="32"/>
          <w:szCs w:val="20"/>
        </w:rPr>
        <w:t>是指申请者拟从事烟草制品零售业务的经营场所进出通道口与中小学校、少年宫、幼儿园进出通道口之间的可通行最短距离</w:t>
      </w:r>
      <w:r>
        <w:rPr>
          <w:rFonts w:hint="eastAsia" w:ascii="仿宋_GB2312" w:hAnsi="Calibri" w:eastAsia="仿宋_GB2312"/>
          <w:color w:val="auto"/>
          <w:sz w:val="32"/>
          <w:szCs w:val="20"/>
          <w:lang w:eastAsia="zh-CN"/>
        </w:rPr>
        <w:t>，</w:t>
      </w:r>
      <w:r>
        <w:rPr>
          <w:rFonts w:hint="eastAsia" w:ascii="仿宋_GB2312" w:hAnsi="Calibri" w:eastAsia="仿宋_GB2312"/>
          <w:color w:val="auto"/>
          <w:sz w:val="32"/>
          <w:szCs w:val="20"/>
          <w:lang w:val="en-US" w:eastAsia="zh-CN"/>
        </w:rPr>
        <w:t>测量方式参照本标准第四条规定。</w:t>
      </w:r>
    </w:p>
    <w:p>
      <w:pPr>
        <w:spacing w:line="240" w:lineRule="auto"/>
        <w:rPr>
          <w:rFonts w:hint="eastAsia" w:ascii="仿宋_GB2312" w:eastAsia="仿宋_GB2312"/>
          <w:color w:val="auto"/>
          <w:sz w:val="32"/>
        </w:rPr>
      </w:pPr>
    </w:p>
    <w:p>
      <w:pPr>
        <w:spacing w:line="240" w:lineRule="auto"/>
        <w:rPr>
          <w:rFonts w:hint="eastAsia" w:ascii="仿宋_GB2312" w:eastAsia="仿宋_GB2312"/>
          <w:color w:val="auto"/>
          <w:sz w:val="32"/>
        </w:rPr>
      </w:pPr>
    </w:p>
    <w:p>
      <w:pPr>
        <w:spacing w:line="240" w:lineRule="auto"/>
        <w:rPr>
          <w:rFonts w:hint="eastAsia" w:ascii="仿宋_GB2312" w:eastAsia="仿宋_GB2312"/>
          <w:color w:val="auto"/>
          <w:sz w:val="32"/>
        </w:rPr>
      </w:pPr>
    </w:p>
    <w:p>
      <w:pPr>
        <w:spacing w:line="240" w:lineRule="auto"/>
        <w:rPr>
          <w:rFonts w:hint="eastAsia" w:ascii="仿宋_GB2312" w:eastAsia="仿宋_GB2312"/>
          <w:color w:val="auto"/>
          <w:sz w:val="32"/>
        </w:rPr>
      </w:pPr>
    </w:p>
    <w:p>
      <w:pPr>
        <w:spacing w:line="240" w:lineRule="auto"/>
        <w:rPr>
          <w:rFonts w:hint="eastAsia" w:ascii="仿宋_GB2312" w:eastAsia="仿宋_GB2312"/>
          <w:color w:val="auto"/>
          <w:sz w:val="32"/>
        </w:rPr>
      </w:pPr>
    </w:p>
    <w:p>
      <w:pPr>
        <w:spacing w:line="240" w:lineRule="auto"/>
        <w:rPr>
          <w:rFonts w:hint="eastAsia" w:ascii="仿宋_GB2312" w:eastAsia="仿宋_GB2312"/>
          <w:color w:val="auto"/>
          <w:sz w:val="32"/>
        </w:rPr>
      </w:pPr>
    </w:p>
    <w:p>
      <w:pPr>
        <w:spacing w:line="240" w:lineRule="auto"/>
        <w:rPr>
          <w:rFonts w:hint="eastAsia" w:ascii="仿宋_GB2312" w:eastAsia="仿宋_GB2312"/>
          <w:color w:val="auto"/>
          <w:sz w:val="32"/>
        </w:rPr>
      </w:pPr>
    </w:p>
    <w:p>
      <w:pPr>
        <w:spacing w:line="240" w:lineRule="auto"/>
        <w:rPr>
          <w:rFonts w:hint="eastAsia" w:ascii="仿宋_GB2312" w:eastAsia="仿宋_GB2312"/>
          <w:color w:val="auto"/>
          <w:sz w:val="32"/>
        </w:rPr>
      </w:pPr>
    </w:p>
    <w:p>
      <w:pPr>
        <w:spacing w:line="360" w:lineRule="auto"/>
        <w:rPr>
          <w:rFonts w:hint="eastAsia" w:ascii="仿宋_GB2312" w:eastAsia="仿宋_GB2312"/>
          <w:color w:val="auto"/>
          <w:sz w:val="32"/>
        </w:rPr>
      </w:pPr>
    </w:p>
    <w:p>
      <w:pPr>
        <w:spacing w:line="360" w:lineRule="auto"/>
        <w:rPr>
          <w:rFonts w:hint="eastAsia" w:ascii="仿宋_GB2312" w:eastAsia="仿宋_GB2312"/>
          <w:color w:val="auto"/>
          <w:sz w:val="32"/>
        </w:rPr>
      </w:pPr>
    </w:p>
    <w:p>
      <w:pPr>
        <w:spacing w:line="360" w:lineRule="auto"/>
        <w:rPr>
          <w:rFonts w:hint="eastAsia" w:ascii="仿宋_GB2312" w:eastAsia="仿宋_GB2312"/>
          <w:color w:val="auto"/>
          <w:sz w:val="32"/>
        </w:rPr>
      </w:pPr>
    </w:p>
    <w:p>
      <w:pPr>
        <w:spacing w:line="360" w:lineRule="auto"/>
        <w:rPr>
          <w:rFonts w:hint="eastAsia" w:ascii="仿宋_GB2312" w:eastAsia="仿宋_GB2312"/>
          <w:color w:val="auto"/>
          <w:sz w:val="32"/>
        </w:rPr>
      </w:pPr>
    </w:p>
    <w:p>
      <w:pPr>
        <w:spacing w:line="360" w:lineRule="auto"/>
        <w:rPr>
          <w:rFonts w:hint="eastAsia" w:ascii="仿宋_GB2312" w:eastAsia="仿宋_GB2312"/>
          <w:color w:val="auto"/>
          <w:sz w:val="32"/>
        </w:rPr>
      </w:pPr>
    </w:p>
    <w:p>
      <w:pPr>
        <w:spacing w:line="360" w:lineRule="auto"/>
        <w:rPr>
          <w:rFonts w:hint="eastAsia" w:ascii="仿宋_GB2312" w:eastAsia="仿宋_GB2312"/>
          <w:color w:val="auto"/>
          <w:sz w:val="32"/>
        </w:rPr>
      </w:pPr>
    </w:p>
    <w:p>
      <w:pPr>
        <w:spacing w:line="360" w:lineRule="auto"/>
        <w:rPr>
          <w:rFonts w:hint="eastAsia" w:ascii="仿宋_GB2312" w:eastAsia="仿宋_GB2312"/>
          <w:color w:val="auto"/>
          <w:sz w:val="32"/>
        </w:rPr>
      </w:pPr>
    </w:p>
    <w:p>
      <w:pPr>
        <w:spacing w:line="360" w:lineRule="auto"/>
        <w:rPr>
          <w:rFonts w:hint="eastAsia" w:ascii="仿宋_GB2312" w:eastAsia="仿宋_GB2312"/>
          <w:color w:val="auto"/>
          <w:sz w:val="32"/>
        </w:rPr>
      </w:pPr>
      <w:bookmarkStart w:id="2" w:name="印发日期"/>
      <w:bookmarkEnd w:id="2"/>
    </w:p>
    <w:sectPr>
      <w:headerReference r:id="rId7" w:type="first"/>
      <w:headerReference r:id="rId5" w:type="default"/>
      <w:footerReference r:id="rId8" w:type="default"/>
      <w:headerReference r:id="rId6" w:type="even"/>
      <w:footerReference r:id="rId9" w:type="even"/>
      <w:pgSz w:w="11906" w:h="16838"/>
      <w:pgMar w:top="2098" w:right="1531" w:bottom="1531" w:left="1531"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7A"/>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7A"/>
    <w:family w:val="auto"/>
    <w:pitch w:val="default"/>
    <w:sig w:usb0="80000287" w:usb1="280F3C52" w:usb2="00000016" w:usb3="00000000" w:csb0="0004001F" w:csb1="00000000"/>
  </w:font>
  <w:font w:name="Verdana,ˎ̥">
    <w:altName w:val="微软雅黑"/>
    <w:panose1 w:val="00000000000000000000"/>
    <w:charset w:val="00"/>
    <w:family w:val="roman"/>
    <w:pitch w:val="default"/>
    <w:sig w:usb0="00000000" w:usb1="00000000" w:usb2="00000000" w:usb3="00000000" w:csb0="00040001" w:csb1="00000000"/>
  </w:font>
  <w:font w:name="仿宋">
    <w:panose1 w:val="02010609060101010101"/>
    <w:charset w:val="7A"/>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F3U8kBAACa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9k&#10;m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I8XdTyQEAAJoDAAAOAAAAAAAAAAEAIAAAAB4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6</w:t>
    </w:r>
    <w:r>
      <w:rPr>
        <w:lang w:val="zh-CN"/>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left="210" w:leftChars="100" w:right="227"/>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NU+uMkBAACa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9k&#10;l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c1T64yQEAAJoDAAAOAAAAAAAAAAEAIAAAAB4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27" w:right="210" w:rightChars="100"/>
      <w:rPr>
        <w:rFonts w:hint="eastAsia" w:ascii="宋体" w:hAnsi="宋体"/>
        <w:sz w:val="28"/>
        <w:szCs w:val="28"/>
      </w:rPr>
    </w:pPr>
    <w:r>
      <w:rPr>
        <w:rStyle w:val="10"/>
        <w:rFonts w:hint="eastAsia" w:ascii="宋体" w:hAnsi="宋体"/>
        <w:sz w:val="28"/>
        <w:szCs w:val="28"/>
      </w:rPr>
      <w:t xml:space="preserve">— </w:t>
    </w:r>
    <w:r>
      <w:rPr>
        <w:rStyle w:val="10"/>
        <w:rFonts w:hint="eastAsia" w:ascii="宋体" w:hAnsi="宋体"/>
        <w:sz w:val="28"/>
        <w:szCs w:val="28"/>
      </w:rPr>
      <w:fldChar w:fldCharType="begin"/>
    </w:r>
    <w:r>
      <w:rPr>
        <w:rStyle w:val="10"/>
        <w:rFonts w:hint="eastAsia" w:ascii="宋体" w:hAnsi="宋体"/>
        <w:sz w:val="28"/>
        <w:szCs w:val="28"/>
      </w:rPr>
      <w:instrText xml:space="preserve"> PAGE </w:instrText>
    </w:r>
    <w:r>
      <w:rPr>
        <w:rStyle w:val="10"/>
        <w:rFonts w:hint="eastAsia" w:ascii="宋体" w:hAnsi="宋体"/>
        <w:sz w:val="28"/>
        <w:szCs w:val="28"/>
      </w:rPr>
      <w:fldChar w:fldCharType="separate"/>
    </w:r>
    <w:r>
      <w:rPr>
        <w:rStyle w:val="10"/>
        <w:rFonts w:ascii="宋体" w:hAnsi="宋体"/>
        <w:sz w:val="28"/>
        <w:szCs w:val="28"/>
        <w:lang/>
      </w:rPr>
      <w:t>2</w:t>
    </w:r>
    <w:r>
      <w:rPr>
        <w:rStyle w:val="10"/>
        <w:rFonts w:hint="eastAsia" w:ascii="宋体" w:hAnsi="宋体"/>
        <w:sz w:val="28"/>
        <w:szCs w:val="28"/>
      </w:rPr>
      <w:fldChar w:fldCharType="end"/>
    </w:r>
    <w:r>
      <w:rPr>
        <w:rStyle w:val="10"/>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5"/>
      <w:numFmt w:val="chineseCounting"/>
      <w:suff w:val="space"/>
      <w:lvlText w:val="第%1条"/>
      <w:lvlJc w:val="left"/>
      <w:rPr>
        <w:rFonts w:hint="eastAsia" w:ascii="黑体" w:hAnsi="黑体" w:eastAsia="黑体" w:cs="黑体"/>
        <w:b/>
        <w:bCs/>
      </w:rPr>
    </w:lvl>
  </w:abstractNum>
  <w:abstractNum w:abstractNumId="1">
    <w:nsid w:val="00000002"/>
    <w:multiLevelType w:val="singleLevel"/>
    <w:tmpl w:val="00000002"/>
    <w:lvl w:ilvl="0" w:tentative="0">
      <w:start w:val="1"/>
      <w:numFmt w:val="decimal"/>
      <w:lvlText w:val="%1."/>
      <w:lvlJc w:val="left"/>
      <w:pPr>
        <w:tabs>
          <w:tab w:val="left" w:pos="312"/>
        </w:tabs>
      </w:pPr>
    </w:lvl>
  </w:abstractNum>
  <w:abstractNum w:abstractNumId="2">
    <w:nsid w:val="00000003"/>
    <w:multiLevelType w:val="singleLevel"/>
    <w:tmpl w:val="00000003"/>
    <w:lvl w:ilvl="0" w:tentative="0">
      <w:start w:val="8"/>
      <w:numFmt w:val="chineseCounting"/>
      <w:suff w:val="space"/>
      <w:lvlText w:val="第%1条"/>
      <w:lvlJc w:val="left"/>
      <w:rPr>
        <w:rFonts w:hint="eastAsia" w:ascii="黑体" w:hAnsi="黑体" w:eastAsia="黑体" w:cs="黑体"/>
        <w:b/>
        <w:bCs/>
        <w:sz w:val="32"/>
        <w:szCs w:val="32"/>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TkyYzM3ZGY3MjA4MWY3ZmVmNTBjOWFiMTlhNDYifQ=="/>
  </w:docVars>
  <w:rsids>
    <w:rsidRoot w:val="00172A27"/>
    <w:rsid w:val="00021A46"/>
    <w:rsid w:val="00027727"/>
    <w:rsid w:val="000553F4"/>
    <w:rsid w:val="000802FE"/>
    <w:rsid w:val="0008334F"/>
    <w:rsid w:val="0009750C"/>
    <w:rsid w:val="00097870"/>
    <w:rsid w:val="0012298B"/>
    <w:rsid w:val="00156AF9"/>
    <w:rsid w:val="00181206"/>
    <w:rsid w:val="001E6463"/>
    <w:rsid w:val="00214A8B"/>
    <w:rsid w:val="00224763"/>
    <w:rsid w:val="002600F1"/>
    <w:rsid w:val="00265587"/>
    <w:rsid w:val="002B5D54"/>
    <w:rsid w:val="002F3BCC"/>
    <w:rsid w:val="003028E8"/>
    <w:rsid w:val="003255A4"/>
    <w:rsid w:val="0033715B"/>
    <w:rsid w:val="00337255"/>
    <w:rsid w:val="00344F8E"/>
    <w:rsid w:val="0034797C"/>
    <w:rsid w:val="00360143"/>
    <w:rsid w:val="003658DF"/>
    <w:rsid w:val="0037682F"/>
    <w:rsid w:val="00395A03"/>
    <w:rsid w:val="003A4DFC"/>
    <w:rsid w:val="003E3761"/>
    <w:rsid w:val="003E542F"/>
    <w:rsid w:val="003E5D12"/>
    <w:rsid w:val="003F2BCA"/>
    <w:rsid w:val="00420CB0"/>
    <w:rsid w:val="00447497"/>
    <w:rsid w:val="00474BFB"/>
    <w:rsid w:val="00475B9E"/>
    <w:rsid w:val="004919E8"/>
    <w:rsid w:val="00492809"/>
    <w:rsid w:val="004953E9"/>
    <w:rsid w:val="004B175F"/>
    <w:rsid w:val="004B17FA"/>
    <w:rsid w:val="004D1168"/>
    <w:rsid w:val="00540185"/>
    <w:rsid w:val="005405C6"/>
    <w:rsid w:val="005706BC"/>
    <w:rsid w:val="00572583"/>
    <w:rsid w:val="00572928"/>
    <w:rsid w:val="0058332B"/>
    <w:rsid w:val="005B5F5B"/>
    <w:rsid w:val="005B7A53"/>
    <w:rsid w:val="005D2BC7"/>
    <w:rsid w:val="005D3C31"/>
    <w:rsid w:val="005D6FDE"/>
    <w:rsid w:val="005E7375"/>
    <w:rsid w:val="005F0F63"/>
    <w:rsid w:val="005F1717"/>
    <w:rsid w:val="00600657"/>
    <w:rsid w:val="006024CB"/>
    <w:rsid w:val="0062698B"/>
    <w:rsid w:val="00651FD4"/>
    <w:rsid w:val="00673A54"/>
    <w:rsid w:val="006802BD"/>
    <w:rsid w:val="006869F8"/>
    <w:rsid w:val="006B43AE"/>
    <w:rsid w:val="006D70EC"/>
    <w:rsid w:val="006E4BCD"/>
    <w:rsid w:val="007002CE"/>
    <w:rsid w:val="00703D2A"/>
    <w:rsid w:val="007133E0"/>
    <w:rsid w:val="00767F56"/>
    <w:rsid w:val="00770350"/>
    <w:rsid w:val="00772DD4"/>
    <w:rsid w:val="007955B5"/>
    <w:rsid w:val="008103FE"/>
    <w:rsid w:val="00812C63"/>
    <w:rsid w:val="008158FE"/>
    <w:rsid w:val="00816AF9"/>
    <w:rsid w:val="00833165"/>
    <w:rsid w:val="00837933"/>
    <w:rsid w:val="008444E4"/>
    <w:rsid w:val="00891FC9"/>
    <w:rsid w:val="008A0900"/>
    <w:rsid w:val="008A7ECD"/>
    <w:rsid w:val="008F6BEB"/>
    <w:rsid w:val="00901410"/>
    <w:rsid w:val="00907A77"/>
    <w:rsid w:val="00913806"/>
    <w:rsid w:val="0092274F"/>
    <w:rsid w:val="00924F37"/>
    <w:rsid w:val="00934602"/>
    <w:rsid w:val="009367FA"/>
    <w:rsid w:val="00945B80"/>
    <w:rsid w:val="009631F8"/>
    <w:rsid w:val="0097654C"/>
    <w:rsid w:val="009A6C01"/>
    <w:rsid w:val="009B5707"/>
    <w:rsid w:val="009B68A5"/>
    <w:rsid w:val="009C6246"/>
    <w:rsid w:val="009D2233"/>
    <w:rsid w:val="00A04AD8"/>
    <w:rsid w:val="00A107B9"/>
    <w:rsid w:val="00A109C1"/>
    <w:rsid w:val="00A13473"/>
    <w:rsid w:val="00A32DBB"/>
    <w:rsid w:val="00A33600"/>
    <w:rsid w:val="00A33F8A"/>
    <w:rsid w:val="00A3720E"/>
    <w:rsid w:val="00A42D93"/>
    <w:rsid w:val="00AA1B34"/>
    <w:rsid w:val="00AC1349"/>
    <w:rsid w:val="00AC6D7A"/>
    <w:rsid w:val="00AE585C"/>
    <w:rsid w:val="00AF22A4"/>
    <w:rsid w:val="00B00D3A"/>
    <w:rsid w:val="00B476FE"/>
    <w:rsid w:val="00B52FDB"/>
    <w:rsid w:val="00B56374"/>
    <w:rsid w:val="00B6380A"/>
    <w:rsid w:val="00B81412"/>
    <w:rsid w:val="00B83A46"/>
    <w:rsid w:val="00B90843"/>
    <w:rsid w:val="00BB23A6"/>
    <w:rsid w:val="00BF0054"/>
    <w:rsid w:val="00C02521"/>
    <w:rsid w:val="00C45A53"/>
    <w:rsid w:val="00C64ACA"/>
    <w:rsid w:val="00C66AB4"/>
    <w:rsid w:val="00C66BF6"/>
    <w:rsid w:val="00C6750E"/>
    <w:rsid w:val="00C847A7"/>
    <w:rsid w:val="00C85FF0"/>
    <w:rsid w:val="00CB18AB"/>
    <w:rsid w:val="00CD0784"/>
    <w:rsid w:val="00CE323E"/>
    <w:rsid w:val="00CE5C6C"/>
    <w:rsid w:val="00CF087A"/>
    <w:rsid w:val="00CF6A11"/>
    <w:rsid w:val="00D33CD8"/>
    <w:rsid w:val="00D37309"/>
    <w:rsid w:val="00D600AD"/>
    <w:rsid w:val="00D62AD4"/>
    <w:rsid w:val="00DC365E"/>
    <w:rsid w:val="00DD1206"/>
    <w:rsid w:val="00DD6AFE"/>
    <w:rsid w:val="00E049E0"/>
    <w:rsid w:val="00E051C5"/>
    <w:rsid w:val="00E15160"/>
    <w:rsid w:val="00E36533"/>
    <w:rsid w:val="00E60DEF"/>
    <w:rsid w:val="00E7336D"/>
    <w:rsid w:val="00E9096E"/>
    <w:rsid w:val="00EA603A"/>
    <w:rsid w:val="00EE418A"/>
    <w:rsid w:val="00EF3F0D"/>
    <w:rsid w:val="00EF5837"/>
    <w:rsid w:val="00F0177E"/>
    <w:rsid w:val="00F06DA5"/>
    <w:rsid w:val="00F7288F"/>
    <w:rsid w:val="00F740F6"/>
    <w:rsid w:val="00F9763E"/>
    <w:rsid w:val="00FA2CD0"/>
    <w:rsid w:val="00FB4EB8"/>
    <w:rsid w:val="00FD2DDE"/>
    <w:rsid w:val="00FF5C8C"/>
    <w:rsid w:val="00FF6434"/>
    <w:rsid w:val="03DB4F5C"/>
    <w:rsid w:val="04E52150"/>
    <w:rsid w:val="05735ECD"/>
    <w:rsid w:val="05B66068"/>
    <w:rsid w:val="0EB70A07"/>
    <w:rsid w:val="0FB613D3"/>
    <w:rsid w:val="10FC46DE"/>
    <w:rsid w:val="12554FFD"/>
    <w:rsid w:val="14FB125F"/>
    <w:rsid w:val="15207305"/>
    <w:rsid w:val="15CE673F"/>
    <w:rsid w:val="172B5BFF"/>
    <w:rsid w:val="18254B52"/>
    <w:rsid w:val="1BC81A23"/>
    <w:rsid w:val="1BF9589C"/>
    <w:rsid w:val="1D4446E2"/>
    <w:rsid w:val="1ECE3912"/>
    <w:rsid w:val="1F1E390D"/>
    <w:rsid w:val="1F414C92"/>
    <w:rsid w:val="21CE1DAA"/>
    <w:rsid w:val="23922ED6"/>
    <w:rsid w:val="24656351"/>
    <w:rsid w:val="274266FA"/>
    <w:rsid w:val="285716B8"/>
    <w:rsid w:val="29D1171C"/>
    <w:rsid w:val="2C8B2B30"/>
    <w:rsid w:val="2EDE59C9"/>
    <w:rsid w:val="2F246779"/>
    <w:rsid w:val="358017A6"/>
    <w:rsid w:val="365A7ED5"/>
    <w:rsid w:val="37774177"/>
    <w:rsid w:val="37C476E9"/>
    <w:rsid w:val="3B2F02AE"/>
    <w:rsid w:val="3B7C0DB9"/>
    <w:rsid w:val="3E9F0175"/>
    <w:rsid w:val="3F17024F"/>
    <w:rsid w:val="408C3B51"/>
    <w:rsid w:val="429E32D8"/>
    <w:rsid w:val="469411FC"/>
    <w:rsid w:val="49EF7A54"/>
    <w:rsid w:val="4E6F709A"/>
    <w:rsid w:val="4E7C3480"/>
    <w:rsid w:val="4ECA0945"/>
    <w:rsid w:val="52D015D0"/>
    <w:rsid w:val="586D5AE8"/>
    <w:rsid w:val="59A02655"/>
    <w:rsid w:val="5C9C6213"/>
    <w:rsid w:val="602E5025"/>
    <w:rsid w:val="60B55C4E"/>
    <w:rsid w:val="61462BE6"/>
    <w:rsid w:val="637A0A21"/>
    <w:rsid w:val="65D21879"/>
    <w:rsid w:val="65FF3BF6"/>
    <w:rsid w:val="684928B7"/>
    <w:rsid w:val="68B21198"/>
    <w:rsid w:val="68C234F8"/>
    <w:rsid w:val="69702096"/>
    <w:rsid w:val="69B74121"/>
    <w:rsid w:val="6AC41B94"/>
    <w:rsid w:val="70B516DA"/>
    <w:rsid w:val="71A70367"/>
    <w:rsid w:val="7460654C"/>
    <w:rsid w:val="74674C7E"/>
    <w:rsid w:val="74FA7A88"/>
    <w:rsid w:val="79495D22"/>
    <w:rsid w:val="7D036FF9"/>
    <w:rsid w:val="7DBB48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iPriority w:val="0"/>
    <w:rPr>
      <w:rFonts w:ascii="Times New Roman" w:hAnsi="Times New Roman" w:eastAsia="宋体" w:cs="Times New Roman"/>
    </w:rPr>
  </w:style>
  <w:style w:type="table" w:default="1" w:styleId="8">
    <w:name w:val="Normal Table"/>
    <w:uiPriority w:val="0"/>
    <w:rPr>
      <w:rFonts w:ascii="Times New Roman" w:hAnsi="Times New Roman" w:eastAsia="宋体" w:cs="Times New Roman"/>
    </w:rPr>
    <w:tblPr>
      <w:tblStyle w:val="8"/>
      <w:tblCellMar>
        <w:top w:w="0" w:type="dxa"/>
        <w:left w:w="108" w:type="dxa"/>
        <w:bottom w:w="0" w:type="dxa"/>
        <w:right w:w="108" w:type="dxa"/>
      </w:tblCellMar>
    </w:tblPr>
  </w:style>
  <w:style w:type="paragraph" w:styleId="2">
    <w:name w:val="annotation text"/>
    <w:basedOn w:val="1"/>
    <w:uiPriority w:val="0"/>
    <w:pPr>
      <w:jc w:val="left"/>
    </w:pPr>
    <w:rPr>
      <w:rFonts w:ascii="Times New Roman" w:hAnsi="Times New Roman" w:eastAsia="宋体" w:cs="Times New Roman"/>
    </w:rPr>
  </w:style>
  <w:style w:type="paragraph" w:styleId="3">
    <w:name w:val="Balloon Text"/>
    <w:basedOn w:val="1"/>
    <w:link w:val="14"/>
    <w:uiPriority w:val="0"/>
    <w:rPr>
      <w:rFonts w:ascii="Times New Roman" w:hAnsi="Times New Roman" w:eastAsia="宋体" w:cs="Times New Roman"/>
      <w:sz w:val="18"/>
      <w:szCs w:val="18"/>
    </w:r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10">
    <w:name w:val="page number"/>
    <w:basedOn w:val="9"/>
    <w:uiPriority w:val="0"/>
    <w:rPr>
      <w:rFonts w:ascii="Times New Roman" w:hAnsi="Times New Roman" w:eastAsia="宋体" w:cs="Times New Roman"/>
    </w:rPr>
  </w:style>
  <w:style w:type="character" w:styleId="11">
    <w:name w:val="Hyperlink"/>
    <w:basedOn w:val="9"/>
    <w:uiPriority w:val="0"/>
    <w:rPr>
      <w:rFonts w:ascii="Times New Roman" w:hAnsi="Times New Roman" w:eastAsia="宋体" w:cs="Times New Roman"/>
      <w:color w:val="606060"/>
      <w:u w:val="none"/>
    </w:rPr>
  </w:style>
  <w:style w:type="character" w:customStyle="1" w:styleId="12">
    <w:name w:val="页眉 Char"/>
    <w:link w:val="5"/>
    <w:uiPriority w:val="0"/>
    <w:rPr>
      <w:rFonts w:ascii="Times New Roman" w:hAnsi="Times New Roman" w:eastAsia="宋体" w:cs="Times New Roman"/>
      <w:kern w:val="2"/>
      <w:sz w:val="18"/>
      <w:szCs w:val="18"/>
    </w:rPr>
  </w:style>
  <w:style w:type="character" w:customStyle="1" w:styleId="13">
    <w:name w:val="NormalCharacter"/>
    <w:uiPriority w:val="0"/>
    <w:rPr>
      <w:rFonts w:ascii="Times New Roman" w:hAnsi="Times New Roman" w:eastAsia="宋体" w:cs="Times New Roman"/>
    </w:rPr>
  </w:style>
  <w:style w:type="character" w:customStyle="1" w:styleId="14">
    <w:name w:val="批注框文本 Char"/>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sy</Company>
  <Pages>16</Pages>
  <Words>4889</Words>
  <Characters>5109</Characters>
  <Lines>22</Lines>
  <Paragraphs>6</Paragraphs>
  <TotalTime>6.00037037037037</TotalTime>
  <ScaleCrop>false</ScaleCrop>
  <LinksUpToDate>false</LinksUpToDate>
  <CharactersWithSpaces>5210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2021-05-26T00:57:00Z</dcterms:created>
  <dc:creator>Administrator</dc:creator>
  <cp:lastModifiedBy>雪花ミ飞舞</cp:lastModifiedBy>
  <cp:lastPrinted>2023-01-30T08:46:47Z</cp:lastPrinted>
  <dcterms:modified xsi:type="dcterms:W3CDTF">2023-04-28T02:34:39Z</dcterms:modified>
  <dc:title>中国烟草总公司山东省公司文件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B1334741DEAB4FBEB467567B9A8ED127_13</vt:lpwstr>
  </property>
</Properties>
</file>